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152BF6F"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3285E">
        <w:rPr>
          <w:rFonts w:cs="Arial"/>
          <w:szCs w:val="22"/>
        </w:rPr>
        <w:t>6</w:t>
      </w:r>
      <w:r w:rsidR="0060115B">
        <w:rPr>
          <w:rFonts w:cs="Arial"/>
          <w:szCs w:val="22"/>
        </w:rPr>
        <w:t>bis-e</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815769" w:rsidRPr="00815769">
        <w:t>2305602</w:t>
      </w:r>
    </w:p>
    <w:p w14:paraId="32854984" w14:textId="15EE452F" w:rsidR="00675C27" w:rsidRPr="00444A16" w:rsidRDefault="0060115B" w:rsidP="00F71A33">
      <w:pPr>
        <w:pStyle w:val="afb"/>
        <w:rPr>
          <w:rFonts w:eastAsia="宋体"/>
          <w:lang w:eastAsia="zh-CN"/>
        </w:rPr>
      </w:pPr>
      <w:r>
        <w:rPr>
          <w:rFonts w:eastAsia="宋体"/>
          <w:lang w:eastAsia="zh-CN"/>
        </w:rPr>
        <w:t xml:space="preserve">Electronic Meeting, April 17 – 26,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F18A013" w14:textId="59AE3E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9A4777">
        <w:rPr>
          <w:rFonts w:ascii="Arial" w:hAnsi="Arial" w:cs="Arial"/>
          <w:sz w:val="22"/>
        </w:rPr>
        <w:t>further enhancements to reduce MPR&amp;PAR</w:t>
      </w:r>
      <w:r w:rsidR="00223768">
        <w:rPr>
          <w:rFonts w:ascii="Arial" w:hAnsi="Arial" w:cs="Arial"/>
          <w:sz w:val="22"/>
        </w:rPr>
        <w:t xml:space="preserve"> </w:t>
      </w:r>
    </w:p>
    <w:p w14:paraId="4EC1E699" w14:textId="177C021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43AC3">
        <w:rPr>
          <w:rFonts w:ascii="Arial" w:hAnsi="Arial" w:cs="Arial"/>
          <w:sz w:val="22"/>
        </w:rPr>
        <w:t>5</w:t>
      </w:r>
      <w:r w:rsidR="00D02F4C">
        <w:rPr>
          <w:rFonts w:ascii="Arial" w:hAnsi="Arial" w:cs="Arial"/>
          <w:sz w:val="22"/>
        </w:rPr>
        <w:t>.</w:t>
      </w:r>
      <w:r w:rsidR="007823C4">
        <w:rPr>
          <w:rFonts w:ascii="Arial" w:hAnsi="Arial" w:cs="Arial"/>
          <w:sz w:val="22"/>
        </w:rPr>
        <w:t>2</w:t>
      </w:r>
      <w:r w:rsidR="00C43AC3">
        <w:rPr>
          <w:rFonts w:ascii="Arial" w:hAnsi="Arial" w:cs="Arial"/>
          <w:sz w:val="22"/>
        </w:rPr>
        <w:t>8</w:t>
      </w:r>
      <w:r w:rsidR="005660EE">
        <w:rPr>
          <w:rFonts w:ascii="Arial" w:hAnsi="Arial" w:cs="Arial"/>
          <w:sz w:val="22"/>
        </w:rPr>
        <w:t>.</w:t>
      </w:r>
      <w:r w:rsidR="007823C4">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1B5DB3F5" w14:textId="6396BDE2" w:rsidR="009A4777" w:rsidRDefault="009A4777" w:rsidP="00942B57">
      <w:pPr>
        <w:jc w:val="both"/>
      </w:pPr>
      <w:r>
        <w:t xml:space="preserve">In last </w:t>
      </w:r>
      <w:r w:rsidR="006B72D0">
        <w:t xml:space="preserve">RAN4 </w:t>
      </w:r>
      <w:r>
        <w:t xml:space="preserve">meeting, </w:t>
      </w:r>
      <w:r w:rsidR="00D7140C">
        <w:t>following</w:t>
      </w:r>
      <w:r w:rsidR="00F57D3B">
        <w:t xml:space="preserve"> agreements have been achieved in WF [1] and RAN4 will collect simulation results </w:t>
      </w:r>
      <w:r w:rsidR="004C34C6">
        <w:t>based on</w:t>
      </w:r>
      <w:r w:rsidR="00F57D3B">
        <w:t xml:space="preserve"> the simulation assumptions in [2]</w:t>
      </w:r>
      <w:r w:rsidR="004C34C6">
        <w:t>.</w:t>
      </w:r>
      <w:r w:rsidR="00F57D3B">
        <w:t xml:space="preserve"> </w:t>
      </w:r>
    </w:p>
    <w:tbl>
      <w:tblPr>
        <w:tblStyle w:val="af8"/>
        <w:tblW w:w="0" w:type="auto"/>
        <w:tblLook w:val="04A0" w:firstRow="1" w:lastRow="0" w:firstColumn="1" w:lastColumn="0" w:noHBand="0" w:noVBand="1"/>
      </w:tblPr>
      <w:tblGrid>
        <w:gridCol w:w="9631"/>
      </w:tblGrid>
      <w:tr w:rsidR="009A4777" w14:paraId="5F042A58" w14:textId="77777777" w:rsidTr="009A4777">
        <w:tc>
          <w:tcPr>
            <w:tcW w:w="9631" w:type="dxa"/>
          </w:tcPr>
          <w:p w14:paraId="65C0C178" w14:textId="77777777" w:rsidR="00196F89" w:rsidRPr="007937B7" w:rsidRDefault="007937B7" w:rsidP="007937B7">
            <w:pPr>
              <w:rPr>
                <w:b/>
                <w:sz w:val="22"/>
              </w:rPr>
            </w:pPr>
            <w:r w:rsidRPr="007937B7">
              <w:rPr>
                <w:b/>
                <w:sz w:val="22"/>
              </w:rPr>
              <w:t>Modulation order</w:t>
            </w:r>
          </w:p>
          <w:p w14:paraId="01340182" w14:textId="77777777" w:rsidR="007937B7" w:rsidRPr="007937B7" w:rsidRDefault="007937B7" w:rsidP="007937B7">
            <w:pPr>
              <w:spacing w:after="120"/>
              <w:rPr>
                <w:szCs w:val="24"/>
                <w:highlight w:val="green"/>
              </w:rPr>
            </w:pPr>
            <w:r w:rsidRPr="007937B7">
              <w:rPr>
                <w:szCs w:val="24"/>
                <w:highlight w:val="green"/>
              </w:rPr>
              <w:t xml:space="preserve">Agreement: </w:t>
            </w:r>
          </w:p>
          <w:p w14:paraId="432A9B5D" w14:textId="77777777" w:rsidR="007937B7" w:rsidRPr="007937B7" w:rsidRDefault="007937B7" w:rsidP="007937B7">
            <w:pPr>
              <w:spacing w:after="120"/>
              <w:rPr>
                <w:szCs w:val="24"/>
              </w:rPr>
            </w:pPr>
            <w:r w:rsidRPr="007937B7">
              <w:rPr>
                <w:szCs w:val="24"/>
              </w:rPr>
              <w:tab/>
              <w:t>QPSK is the targeted modulation for further coverage enhancements</w:t>
            </w:r>
          </w:p>
          <w:p w14:paraId="54970F09" w14:textId="77777777" w:rsidR="007937B7" w:rsidRPr="007937B7" w:rsidRDefault="007937B7" w:rsidP="007937B7">
            <w:pPr>
              <w:spacing w:after="120"/>
              <w:rPr>
                <w:szCs w:val="24"/>
              </w:rPr>
            </w:pPr>
            <w:r w:rsidRPr="007937B7">
              <w:rPr>
                <w:szCs w:val="24"/>
              </w:rPr>
              <w:tab/>
            </w:r>
            <w:r w:rsidRPr="007937B7">
              <w:rPr>
                <w:szCs w:val="24"/>
              </w:rPr>
              <w:tab/>
              <w:t>At least for simulation study</w:t>
            </w:r>
          </w:p>
          <w:p w14:paraId="2ECB0039" w14:textId="2B87DCB5" w:rsidR="007937B7" w:rsidRPr="007937B7" w:rsidRDefault="007937B7" w:rsidP="007937B7">
            <w:pPr>
              <w:rPr>
                <w:b/>
                <w:sz w:val="22"/>
              </w:rPr>
            </w:pPr>
            <w:r w:rsidRPr="007937B7">
              <w:rPr>
                <w:b/>
                <w:sz w:val="22"/>
              </w:rPr>
              <w:t>Applicability to FR1 and/or FR2</w:t>
            </w:r>
          </w:p>
          <w:p w14:paraId="387458C9" w14:textId="77777777" w:rsidR="007937B7" w:rsidRPr="007937B7" w:rsidRDefault="007937B7" w:rsidP="007937B7">
            <w:pPr>
              <w:spacing w:after="120"/>
              <w:rPr>
                <w:szCs w:val="24"/>
                <w:highlight w:val="green"/>
              </w:rPr>
            </w:pPr>
            <w:r w:rsidRPr="007937B7">
              <w:rPr>
                <w:szCs w:val="24"/>
                <w:highlight w:val="green"/>
              </w:rPr>
              <w:t>Agreement:</w:t>
            </w:r>
          </w:p>
          <w:p w14:paraId="627EF401" w14:textId="77777777" w:rsidR="007937B7" w:rsidRPr="007937B7" w:rsidRDefault="007937B7" w:rsidP="007937B7">
            <w:pPr>
              <w:spacing w:after="120"/>
              <w:rPr>
                <w:szCs w:val="24"/>
              </w:rPr>
            </w:pPr>
            <w:r w:rsidRPr="007937B7">
              <w:rPr>
                <w:szCs w:val="24"/>
              </w:rPr>
              <w:tab/>
              <w:t xml:space="preserve"> RAN4 shall evaluate both FR1 and FR2 scenarios.</w:t>
            </w:r>
          </w:p>
          <w:p w14:paraId="3CD44633" w14:textId="7B037503" w:rsidR="007937B7" w:rsidRPr="007937B7" w:rsidRDefault="007937B7" w:rsidP="007937B7">
            <w:pPr>
              <w:rPr>
                <w:b/>
                <w:sz w:val="22"/>
              </w:rPr>
            </w:pPr>
            <w:r w:rsidRPr="007937B7">
              <w:rPr>
                <w:b/>
                <w:sz w:val="22"/>
              </w:rPr>
              <w:t>Miscellaneous</w:t>
            </w:r>
          </w:p>
          <w:p w14:paraId="2ABE66E3" w14:textId="77777777" w:rsidR="007937B7" w:rsidRPr="007937B7" w:rsidRDefault="007937B7" w:rsidP="007937B7">
            <w:pPr>
              <w:spacing w:after="120"/>
              <w:rPr>
                <w:szCs w:val="24"/>
              </w:rPr>
            </w:pPr>
            <w:r w:rsidRPr="007937B7">
              <w:rPr>
                <w:szCs w:val="24"/>
                <w:highlight w:val="green"/>
              </w:rPr>
              <w:t>Agreement:</w:t>
            </w:r>
          </w:p>
          <w:p w14:paraId="657DEDA7" w14:textId="77777777" w:rsidR="007937B7" w:rsidRPr="007937B7" w:rsidRDefault="007937B7" w:rsidP="007937B7">
            <w:pPr>
              <w:spacing w:after="120"/>
              <w:rPr>
                <w:szCs w:val="24"/>
              </w:rPr>
            </w:pPr>
            <w:r w:rsidRPr="007937B7">
              <w:rPr>
                <w:szCs w:val="24"/>
              </w:rPr>
              <w:tab/>
              <w:t>RAN4 shall prioritizes DFT-S-OFDM as a solution for coverage enhancements</w:t>
            </w:r>
          </w:p>
          <w:p w14:paraId="2B12FBAE" w14:textId="77777777" w:rsidR="007937B7" w:rsidRPr="007937B7" w:rsidRDefault="007937B7" w:rsidP="007937B7">
            <w:pPr>
              <w:spacing w:after="120"/>
              <w:rPr>
                <w:szCs w:val="24"/>
              </w:rPr>
            </w:pPr>
            <w:r w:rsidRPr="007937B7">
              <w:rPr>
                <w:szCs w:val="24"/>
              </w:rPr>
              <w:tab/>
            </w:r>
            <w:r w:rsidRPr="007937B7">
              <w:rPr>
                <w:szCs w:val="24"/>
              </w:rPr>
              <w:tab/>
              <w:t>F</w:t>
            </w:r>
            <w:r w:rsidRPr="007937B7">
              <w:rPr>
                <w:rFonts w:hint="eastAsia"/>
                <w:szCs w:val="24"/>
              </w:rPr>
              <w:t>F</w:t>
            </w:r>
            <w:r w:rsidRPr="007937B7">
              <w:rPr>
                <w:szCs w:val="24"/>
              </w:rPr>
              <w:t>S on CP-OFDM if companies can show gains</w:t>
            </w:r>
          </w:p>
          <w:p w14:paraId="124E1E27" w14:textId="77777777" w:rsidR="007937B7" w:rsidRPr="007937B7" w:rsidRDefault="007937B7" w:rsidP="007937B7">
            <w:pPr>
              <w:spacing w:after="120"/>
              <w:rPr>
                <w:szCs w:val="24"/>
              </w:rPr>
            </w:pPr>
            <w:r w:rsidRPr="007937B7">
              <w:rPr>
                <w:szCs w:val="24"/>
              </w:rPr>
              <w:tab/>
              <w:t>RAN4 shall not consider other channels and signals (than PUSCH and the associated DMRS)</w:t>
            </w:r>
          </w:p>
          <w:p w14:paraId="22E8FB7A" w14:textId="0B35DADC" w:rsidR="007937B7" w:rsidRPr="00330F1C" w:rsidRDefault="007937B7" w:rsidP="00330F1C">
            <w:pPr>
              <w:spacing w:after="120"/>
              <w:rPr>
                <w:szCs w:val="24"/>
              </w:rPr>
            </w:pPr>
            <w:r w:rsidRPr="007937B7">
              <w:rPr>
                <w:szCs w:val="24"/>
              </w:rPr>
              <w:tab/>
              <w:t>RAN4 shall not consider intra band UL CA scenario in Rel-18 WI</w:t>
            </w:r>
          </w:p>
        </w:tc>
      </w:tr>
    </w:tbl>
    <w:p w14:paraId="0C9A859F" w14:textId="3121FF5A" w:rsidR="009A4777" w:rsidRDefault="009A4777" w:rsidP="00942B57">
      <w:pPr>
        <w:jc w:val="both"/>
      </w:pPr>
      <w:r>
        <w:t xml:space="preserve">In this contribution, we would like to </w:t>
      </w:r>
      <w:r w:rsidR="00D806BB">
        <w:t>update</w:t>
      </w:r>
      <w:r>
        <w:t xml:space="preserve"> our simulation results </w:t>
      </w:r>
      <w:r w:rsidR="002661AE">
        <w:t>of solutions for</w:t>
      </w:r>
      <w:r>
        <w:t xml:space="preserve"> </w:t>
      </w:r>
      <w:r w:rsidR="00C043D7">
        <w:t xml:space="preserve">Rel-18 </w:t>
      </w:r>
      <w:r w:rsidR="002661AE">
        <w:t>further enhancements to reduce MPR&amp;PAR</w:t>
      </w:r>
      <w:r w:rsidR="00C043D7">
        <w:t xml:space="preserve"> and</w:t>
      </w:r>
      <w:r>
        <w:t xml:space="preserve"> tak</w:t>
      </w:r>
      <w:r w:rsidR="00C043D7">
        <w:t>e</w:t>
      </w:r>
      <w:r w:rsidR="008B7A8A">
        <w:t xml:space="preserve"> the information </w:t>
      </w:r>
      <w:r w:rsidR="001E1EDC">
        <w:t xml:space="preserve">that </w:t>
      </w:r>
      <w:r w:rsidR="008B7A8A">
        <w:t xml:space="preserve">conveyed by communications </w:t>
      </w:r>
      <w:r w:rsidR="00330F1C">
        <w:t>between RAN1 and RAN4 [</w:t>
      </w:r>
      <w:r>
        <w:t>3</w:t>
      </w:r>
      <w:r w:rsidR="00330F1C">
        <w:t>, 4, 5</w:t>
      </w:r>
      <w:r>
        <w:t xml:space="preserve">] into consideration.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7ED81F4F" w14:textId="7B5AA3AD" w:rsidR="00F01EE4" w:rsidRPr="00C21A47" w:rsidRDefault="00385A12" w:rsidP="001E1EDC">
      <w:pPr>
        <w:pStyle w:val="2"/>
        <w:spacing w:after="240"/>
        <w:ind w:left="0"/>
      </w:pPr>
      <w:r>
        <w:t>Further a</w:t>
      </w:r>
      <w:r w:rsidR="00E675B6">
        <w:t>nalysis</w:t>
      </w:r>
      <w:r w:rsidR="001B7F41">
        <w:t xml:space="preserve"> on</w:t>
      </w:r>
      <w:r w:rsidR="00B30D61">
        <w:t xml:space="preserve"> </w:t>
      </w:r>
      <w:r w:rsidR="00FE087D">
        <w:t xml:space="preserve">MPR&amp;PAR reduction </w:t>
      </w:r>
      <w:r w:rsidR="00B30D61">
        <w:t>scheme</w:t>
      </w:r>
      <w:r w:rsidR="00FE087D">
        <w:t>s</w:t>
      </w:r>
      <w:r w:rsidR="00F01EE4" w:rsidRPr="00C21A47">
        <w:t xml:space="preserve"> </w:t>
      </w:r>
    </w:p>
    <w:p w14:paraId="520A309F" w14:textId="03F0F39D" w:rsidR="00083423" w:rsidRPr="00083423" w:rsidRDefault="00E3442B" w:rsidP="00D54496">
      <w:pPr>
        <w:jc w:val="both"/>
        <w:rPr>
          <w:b/>
          <w:sz w:val="24"/>
          <w:u w:val="single"/>
          <w:lang w:eastAsia="en-US"/>
        </w:rPr>
      </w:pPr>
      <w:r>
        <w:rPr>
          <w:b/>
          <w:sz w:val="24"/>
          <w:u w:val="single"/>
          <w:lang w:eastAsia="en-US"/>
        </w:rPr>
        <w:t>Consideration</w:t>
      </w:r>
      <w:r w:rsidR="00C63125">
        <w:rPr>
          <w:b/>
          <w:sz w:val="24"/>
          <w:u w:val="single"/>
          <w:lang w:eastAsia="en-US"/>
        </w:rPr>
        <w:t>s</w:t>
      </w:r>
      <w:r>
        <w:rPr>
          <w:b/>
          <w:sz w:val="24"/>
          <w:u w:val="single"/>
          <w:lang w:eastAsia="en-US"/>
        </w:rPr>
        <w:t xml:space="preserve"> on </w:t>
      </w:r>
      <w:r w:rsidR="00083423">
        <w:rPr>
          <w:b/>
          <w:sz w:val="24"/>
          <w:u w:val="single"/>
          <w:lang w:eastAsia="en-US"/>
        </w:rPr>
        <w:t>MRC receiver</w:t>
      </w:r>
    </w:p>
    <w:p w14:paraId="33E8B72F" w14:textId="20CD4F75" w:rsidR="00A42E03" w:rsidRDefault="00385A12" w:rsidP="00D54496">
      <w:pPr>
        <w:jc w:val="both"/>
        <w:rPr>
          <w:lang w:eastAsia="en-US"/>
        </w:rPr>
      </w:pPr>
      <w:r>
        <w:rPr>
          <w:lang w:eastAsia="en-US"/>
        </w:rPr>
        <w:t>According to our previous analysis on MPR&amp;PAR reduction schemes in [</w:t>
      </w:r>
      <w:r w:rsidR="00E67732">
        <w:rPr>
          <w:lang w:eastAsia="en-US"/>
        </w:rPr>
        <w:t>6</w:t>
      </w:r>
      <w:r>
        <w:rPr>
          <w:lang w:eastAsia="en-US"/>
        </w:rPr>
        <w:t>], it is proven that FDSS with spectrum extension</w:t>
      </w:r>
      <w:r w:rsidR="00760861">
        <w:rPr>
          <w:lang w:eastAsia="en-US"/>
        </w:rPr>
        <w:t>, as a non-transparent method,</w:t>
      </w:r>
      <w:r>
        <w:rPr>
          <w:lang w:eastAsia="en-US"/>
        </w:rPr>
        <w:t xml:space="preserve"> can provide</w:t>
      </w:r>
      <w:r w:rsidRPr="00385A12">
        <w:rPr>
          <w:lang w:eastAsia="en-US"/>
        </w:rPr>
        <w:t xml:space="preserve"> </w:t>
      </w:r>
      <w:r w:rsidR="00760861">
        <w:rPr>
          <w:lang w:eastAsia="en-US"/>
        </w:rPr>
        <w:t xml:space="preserve">considerable </w:t>
      </w:r>
      <w:r w:rsidRPr="00385A12">
        <w:rPr>
          <w:lang w:eastAsia="en-US"/>
        </w:rPr>
        <w:t xml:space="preserve">gain for both inner and outer RB allocations </w:t>
      </w:r>
      <w:r>
        <w:rPr>
          <w:lang w:eastAsia="en-US"/>
        </w:rPr>
        <w:t>under</w:t>
      </w:r>
      <w:r w:rsidRPr="00385A12">
        <w:rPr>
          <w:lang w:eastAsia="en-US"/>
        </w:rPr>
        <w:t xml:space="preserve"> suitable combination(s) of FDSS filter and spectrum</w:t>
      </w:r>
      <w:r>
        <w:rPr>
          <w:lang w:eastAsia="en-US"/>
        </w:rPr>
        <w:t xml:space="preserve"> extension ratio. </w:t>
      </w:r>
      <w:r w:rsidR="00A42E03">
        <w:rPr>
          <w:lang w:eastAsia="en-US"/>
        </w:rPr>
        <w:t>One issue for the evaluation on FDSS with spectrum extension is that it might be reasonable to consider MRC receiver in order to have an overall observation on the gain, but whether to consider it from UE RF MPR requirement perspective should be further discussed.</w:t>
      </w:r>
    </w:p>
    <w:p w14:paraId="0CBC8FE3" w14:textId="023BEB1D" w:rsidR="00B44D0C" w:rsidRPr="00910FE0" w:rsidRDefault="00B44D0C" w:rsidP="00B44D0C">
      <w:pPr>
        <w:spacing w:before="72"/>
        <w:jc w:val="center"/>
        <w:rPr>
          <w:b/>
        </w:rPr>
      </w:pPr>
      <w:r w:rsidRPr="00910FE0">
        <w:rPr>
          <w:b/>
        </w:rPr>
        <w:t>Table 1: SNR degradation of basic receiver compared to MRC receiver under 4 RB allocations</w:t>
      </w:r>
    </w:p>
    <w:tbl>
      <w:tblPr>
        <w:tblStyle w:val="af8"/>
        <w:tblW w:w="7083" w:type="dxa"/>
        <w:jc w:val="center"/>
        <w:tblLook w:val="04A0" w:firstRow="1" w:lastRow="0" w:firstColumn="1" w:lastColumn="0" w:noHBand="0" w:noVBand="1"/>
      </w:tblPr>
      <w:tblGrid>
        <w:gridCol w:w="1129"/>
        <w:gridCol w:w="1483"/>
        <w:gridCol w:w="1443"/>
        <w:gridCol w:w="1469"/>
        <w:gridCol w:w="1559"/>
      </w:tblGrid>
      <w:tr w:rsidR="00D92B92" w14:paraId="27350CEB" w14:textId="77777777" w:rsidTr="005E4303">
        <w:trPr>
          <w:trHeight w:val="696"/>
          <w:jc w:val="center"/>
        </w:trPr>
        <w:tc>
          <w:tcPr>
            <w:tcW w:w="1129" w:type="dxa"/>
            <w:tcBorders>
              <w:top w:val="single" w:sz="4" w:space="0" w:color="auto"/>
              <w:left w:val="single" w:sz="4" w:space="0" w:color="auto"/>
              <w:bottom w:val="single" w:sz="4" w:space="0" w:color="auto"/>
              <w:right w:val="single" w:sz="4" w:space="0" w:color="auto"/>
            </w:tcBorders>
            <w:vAlign w:val="center"/>
          </w:tcPr>
          <w:p w14:paraId="78FAF577" w14:textId="77777777" w:rsidR="00D92B92" w:rsidRDefault="00D92B92" w:rsidP="00B44D0C">
            <w:pPr>
              <w:spacing w:before="72"/>
              <w:jc w:val="center"/>
            </w:pPr>
          </w:p>
        </w:tc>
        <w:tc>
          <w:tcPr>
            <w:tcW w:w="2926" w:type="dxa"/>
            <w:gridSpan w:val="2"/>
            <w:tcBorders>
              <w:top w:val="single" w:sz="4" w:space="0" w:color="auto"/>
              <w:left w:val="single" w:sz="4" w:space="0" w:color="auto"/>
              <w:bottom w:val="single" w:sz="4" w:space="0" w:color="auto"/>
              <w:right w:val="single" w:sz="4" w:space="0" w:color="auto"/>
            </w:tcBorders>
            <w:vAlign w:val="center"/>
            <w:hideMark/>
          </w:tcPr>
          <w:p w14:paraId="04B6046A" w14:textId="436EF44E" w:rsidR="00D92B92" w:rsidRDefault="00D92B92" w:rsidP="00D92B92">
            <w:pPr>
              <w:spacing w:before="72"/>
              <w:jc w:val="center"/>
            </w:pPr>
            <w:r>
              <w:t>TRRC (0.5,0.1667)</w:t>
            </w:r>
          </w:p>
        </w:tc>
        <w:tc>
          <w:tcPr>
            <w:tcW w:w="3028" w:type="dxa"/>
            <w:gridSpan w:val="2"/>
            <w:tcBorders>
              <w:top w:val="single" w:sz="4" w:space="0" w:color="auto"/>
              <w:left w:val="single" w:sz="4" w:space="0" w:color="auto"/>
              <w:bottom w:val="single" w:sz="4" w:space="0" w:color="auto"/>
              <w:right w:val="single" w:sz="4" w:space="0" w:color="auto"/>
            </w:tcBorders>
            <w:vAlign w:val="center"/>
            <w:hideMark/>
          </w:tcPr>
          <w:p w14:paraId="5E31ABD3" w14:textId="5EB69909" w:rsidR="00D92B92" w:rsidRDefault="00D92B92" w:rsidP="00D92B92">
            <w:pPr>
              <w:spacing w:before="72"/>
              <w:jc w:val="center"/>
            </w:pPr>
            <w:r>
              <w:t>3tap (-0.28,1, -0.28)</w:t>
            </w:r>
          </w:p>
        </w:tc>
      </w:tr>
      <w:tr w:rsidR="00B44D0C" w14:paraId="58C703E7" w14:textId="77777777" w:rsidTr="00B44D0C">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DA7D2E5" w14:textId="1300EDAE" w:rsidR="00B44D0C" w:rsidRDefault="009B4E5F" w:rsidP="00B44D0C">
            <w:pPr>
              <w:spacing w:before="72"/>
              <w:jc w:val="center"/>
              <w:rPr>
                <w:color w:val="000000" w:themeColor="text1"/>
              </w:rPr>
            </w:pPr>
            <w:r>
              <w:rPr>
                <w:color w:val="000000" w:themeColor="text1"/>
              </w:rPr>
              <w:t>Code Rate</w:t>
            </w:r>
          </w:p>
        </w:tc>
        <w:tc>
          <w:tcPr>
            <w:tcW w:w="1483" w:type="dxa"/>
            <w:tcBorders>
              <w:top w:val="single" w:sz="4" w:space="0" w:color="auto"/>
              <w:left w:val="single" w:sz="4" w:space="0" w:color="auto"/>
              <w:bottom w:val="single" w:sz="4" w:space="0" w:color="auto"/>
              <w:right w:val="single" w:sz="4" w:space="0" w:color="auto"/>
            </w:tcBorders>
            <w:vAlign w:val="center"/>
          </w:tcPr>
          <w:p w14:paraId="4A525CAE" w14:textId="38E0002F" w:rsidR="00B44D0C" w:rsidRDefault="00B44D0C" w:rsidP="00B44D0C">
            <w:pPr>
              <w:spacing w:before="72"/>
              <w:jc w:val="center"/>
              <w:rPr>
                <w:color w:val="000000" w:themeColor="text1"/>
              </w:rPr>
            </w:pPr>
            <w:r>
              <w:rPr>
                <w:color w:val="000000" w:themeColor="text1"/>
              </w:rPr>
              <w:t>SE ratio = 1/8</w:t>
            </w:r>
          </w:p>
        </w:tc>
        <w:tc>
          <w:tcPr>
            <w:tcW w:w="1443" w:type="dxa"/>
            <w:tcBorders>
              <w:top w:val="single" w:sz="4" w:space="0" w:color="auto"/>
              <w:left w:val="single" w:sz="4" w:space="0" w:color="auto"/>
              <w:bottom w:val="single" w:sz="4" w:space="0" w:color="auto"/>
              <w:right w:val="single" w:sz="4" w:space="0" w:color="auto"/>
            </w:tcBorders>
            <w:vAlign w:val="center"/>
          </w:tcPr>
          <w:p w14:paraId="54BA4F9C" w14:textId="2B2375D4" w:rsidR="00B44D0C" w:rsidRDefault="00B44D0C" w:rsidP="00B44D0C">
            <w:pPr>
              <w:spacing w:before="72"/>
              <w:jc w:val="center"/>
              <w:rPr>
                <w:color w:val="000000" w:themeColor="text1"/>
              </w:rPr>
            </w:pPr>
            <w:r>
              <w:rPr>
                <w:color w:val="000000" w:themeColor="text1"/>
              </w:rPr>
              <w:t>SE ratio = 1/4</w:t>
            </w:r>
          </w:p>
        </w:tc>
        <w:tc>
          <w:tcPr>
            <w:tcW w:w="1469" w:type="dxa"/>
            <w:tcBorders>
              <w:top w:val="single" w:sz="4" w:space="0" w:color="auto"/>
              <w:left w:val="single" w:sz="4" w:space="0" w:color="auto"/>
              <w:bottom w:val="single" w:sz="4" w:space="0" w:color="auto"/>
              <w:right w:val="single" w:sz="4" w:space="0" w:color="auto"/>
            </w:tcBorders>
            <w:vAlign w:val="center"/>
          </w:tcPr>
          <w:p w14:paraId="5AEDF2DB" w14:textId="5CF0808F" w:rsidR="00B44D0C" w:rsidRDefault="00B44D0C" w:rsidP="00B44D0C">
            <w:pPr>
              <w:spacing w:before="72"/>
              <w:jc w:val="center"/>
              <w:rPr>
                <w:color w:val="000000" w:themeColor="text1"/>
              </w:rPr>
            </w:pPr>
            <w:r>
              <w:rPr>
                <w:color w:val="000000" w:themeColor="text1"/>
              </w:rPr>
              <w:t>SE ratio = 1/8</w:t>
            </w:r>
          </w:p>
        </w:tc>
        <w:tc>
          <w:tcPr>
            <w:tcW w:w="1559" w:type="dxa"/>
            <w:tcBorders>
              <w:top w:val="single" w:sz="4" w:space="0" w:color="auto"/>
              <w:left w:val="single" w:sz="4" w:space="0" w:color="auto"/>
              <w:bottom w:val="single" w:sz="4" w:space="0" w:color="auto"/>
              <w:right w:val="single" w:sz="4" w:space="0" w:color="auto"/>
            </w:tcBorders>
            <w:vAlign w:val="center"/>
          </w:tcPr>
          <w:p w14:paraId="758AA74D" w14:textId="4A7A91BD" w:rsidR="00B44D0C" w:rsidRDefault="00ED5B0B" w:rsidP="00B44D0C">
            <w:pPr>
              <w:spacing w:before="72"/>
              <w:jc w:val="center"/>
              <w:rPr>
                <w:color w:val="000000" w:themeColor="text1"/>
              </w:rPr>
            </w:pPr>
            <w:r>
              <w:rPr>
                <w:color w:val="000000" w:themeColor="text1"/>
              </w:rPr>
              <w:t>SE ratio = 1/4</w:t>
            </w:r>
          </w:p>
        </w:tc>
      </w:tr>
      <w:tr w:rsidR="00B44D0C" w14:paraId="5FB82F4B" w14:textId="77777777" w:rsidTr="00B44D0C">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5450FD2" w14:textId="67B67FA7" w:rsidR="00B44D0C" w:rsidRDefault="00B44D0C" w:rsidP="00B44D0C">
            <w:pPr>
              <w:spacing w:before="72"/>
              <w:jc w:val="center"/>
              <w:rPr>
                <w:color w:val="000000" w:themeColor="text1"/>
              </w:rPr>
            </w:pPr>
            <w:r>
              <w:rPr>
                <w:color w:val="000000" w:themeColor="text1"/>
              </w:rPr>
              <w:t>1/8</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437866E" w14:textId="4EA7C533" w:rsidR="00B44D0C" w:rsidRDefault="00B44D0C" w:rsidP="00B44D0C">
            <w:pPr>
              <w:spacing w:before="72"/>
              <w:jc w:val="center"/>
              <w:rPr>
                <w:color w:val="000000" w:themeColor="text1"/>
              </w:rPr>
            </w:pPr>
            <w:r>
              <w:rPr>
                <w:color w:val="000000" w:themeColor="text1"/>
              </w:rPr>
              <w:t>-0.11</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12CEDC5" w14:textId="77777777" w:rsidR="00B44D0C" w:rsidRDefault="00B44D0C" w:rsidP="00B44D0C">
            <w:pPr>
              <w:spacing w:before="72"/>
              <w:jc w:val="center"/>
              <w:rPr>
                <w:color w:val="000000" w:themeColor="text1"/>
              </w:rPr>
            </w:pPr>
            <w:r>
              <w:rPr>
                <w:color w:val="000000" w:themeColor="text1"/>
              </w:rPr>
              <w:t>-0.35</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01045FB" w14:textId="77777777" w:rsidR="00B44D0C" w:rsidRDefault="00B44D0C" w:rsidP="00B44D0C">
            <w:pPr>
              <w:spacing w:before="72"/>
              <w:jc w:val="center"/>
              <w:rPr>
                <w:color w:val="000000" w:themeColor="text1"/>
              </w:rPr>
            </w:pPr>
            <w:r>
              <w:rPr>
                <w:color w:val="000000" w:themeColor="text1"/>
              </w:rPr>
              <w:t>-0.17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595AFD" w14:textId="77777777" w:rsidR="00B44D0C" w:rsidRDefault="00B44D0C" w:rsidP="00B44D0C">
            <w:pPr>
              <w:spacing w:before="72"/>
              <w:jc w:val="center"/>
              <w:rPr>
                <w:color w:val="000000" w:themeColor="text1"/>
              </w:rPr>
            </w:pPr>
            <w:r>
              <w:rPr>
                <w:color w:val="000000" w:themeColor="text1"/>
              </w:rPr>
              <w:t>-0.33</w:t>
            </w:r>
          </w:p>
        </w:tc>
      </w:tr>
      <w:tr w:rsidR="00B44D0C" w14:paraId="567DD29B" w14:textId="77777777" w:rsidTr="00B44D0C">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82E7F05" w14:textId="6090E86D" w:rsidR="00B44D0C" w:rsidRDefault="00B44D0C" w:rsidP="00B44D0C">
            <w:pPr>
              <w:spacing w:before="72"/>
              <w:jc w:val="center"/>
            </w:pPr>
            <w:r>
              <w:t>1/4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E4D28D5" w14:textId="157C9A0C" w:rsidR="00B44D0C" w:rsidRDefault="00B44D0C" w:rsidP="00B44D0C">
            <w:pPr>
              <w:spacing w:before="72"/>
              <w:jc w:val="center"/>
            </w:pPr>
            <w:r>
              <w:t>-0.25</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12437CA" w14:textId="77777777" w:rsidR="00B44D0C" w:rsidRDefault="00B44D0C" w:rsidP="00B44D0C">
            <w:pPr>
              <w:spacing w:before="72"/>
              <w:jc w:val="center"/>
            </w:pPr>
            <w:r>
              <w:t>-0.40</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A75391D" w14:textId="77777777" w:rsidR="00B44D0C" w:rsidRDefault="00B44D0C" w:rsidP="00B44D0C">
            <w:pPr>
              <w:spacing w:before="72"/>
              <w:jc w:val="center"/>
            </w:pPr>
            <w:r>
              <w:t>-0.51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1CE3B4" w14:textId="77777777" w:rsidR="00B44D0C" w:rsidRDefault="00B44D0C" w:rsidP="00B44D0C">
            <w:pPr>
              <w:spacing w:before="72"/>
              <w:jc w:val="center"/>
            </w:pPr>
            <w:r>
              <w:t>-0.43</w:t>
            </w:r>
          </w:p>
        </w:tc>
      </w:tr>
      <w:tr w:rsidR="00B44D0C" w14:paraId="464A47E9" w14:textId="77777777" w:rsidTr="00B44D0C">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969B8A7" w14:textId="5CA6B11E" w:rsidR="00B44D0C" w:rsidRDefault="00B44D0C" w:rsidP="00B44D0C">
            <w:pPr>
              <w:spacing w:before="72"/>
              <w:jc w:val="center"/>
            </w:pPr>
            <w:r>
              <w:t>1/2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E3B9AFE" w14:textId="5ACBD9A7" w:rsidR="00B44D0C" w:rsidRDefault="00B44D0C" w:rsidP="00B44D0C">
            <w:pPr>
              <w:spacing w:before="72"/>
              <w:jc w:val="center"/>
            </w:pPr>
            <w:r>
              <w:t>-0.25</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FB5DA76" w14:textId="77777777" w:rsidR="00B44D0C" w:rsidRDefault="00B44D0C" w:rsidP="00B44D0C">
            <w:pPr>
              <w:spacing w:before="72"/>
              <w:jc w:val="center"/>
            </w:pPr>
            <w:r>
              <w:t>-0.43</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FB5AF0D" w14:textId="77777777" w:rsidR="00B44D0C" w:rsidRDefault="00B44D0C" w:rsidP="00B44D0C">
            <w:pPr>
              <w:spacing w:before="72"/>
              <w:jc w:val="center"/>
            </w:pPr>
            <w:r>
              <w:t>-0.33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094BB5" w14:textId="77777777" w:rsidR="00B44D0C" w:rsidRDefault="00B44D0C" w:rsidP="00B44D0C">
            <w:pPr>
              <w:spacing w:before="72"/>
              <w:jc w:val="center"/>
            </w:pPr>
            <w:r>
              <w:t>-0.53</w:t>
            </w:r>
          </w:p>
        </w:tc>
      </w:tr>
    </w:tbl>
    <w:p w14:paraId="7C78D7D9" w14:textId="2B5754C6" w:rsidR="00B44D0C" w:rsidRPr="00910FE0" w:rsidRDefault="00B44D0C" w:rsidP="00B44D0C">
      <w:pPr>
        <w:spacing w:before="72"/>
        <w:jc w:val="center"/>
        <w:rPr>
          <w:b/>
        </w:rPr>
      </w:pPr>
      <w:r w:rsidRPr="00910FE0">
        <w:rPr>
          <w:b/>
        </w:rPr>
        <w:t>Table 2: SNR degradation of basic receiver compared to MRC receiver under 8 RB allocations</w:t>
      </w:r>
    </w:p>
    <w:tbl>
      <w:tblPr>
        <w:tblStyle w:val="af8"/>
        <w:tblW w:w="7083" w:type="dxa"/>
        <w:jc w:val="center"/>
        <w:tblLook w:val="04A0" w:firstRow="1" w:lastRow="0" w:firstColumn="1" w:lastColumn="0" w:noHBand="0" w:noVBand="1"/>
      </w:tblPr>
      <w:tblGrid>
        <w:gridCol w:w="1129"/>
        <w:gridCol w:w="1483"/>
        <w:gridCol w:w="1443"/>
        <w:gridCol w:w="1469"/>
        <w:gridCol w:w="1559"/>
      </w:tblGrid>
      <w:tr w:rsidR="00D92B92" w14:paraId="4D93D9A1" w14:textId="77777777" w:rsidTr="005E4303">
        <w:trPr>
          <w:trHeight w:val="696"/>
          <w:jc w:val="center"/>
        </w:trPr>
        <w:tc>
          <w:tcPr>
            <w:tcW w:w="1129" w:type="dxa"/>
            <w:tcBorders>
              <w:top w:val="single" w:sz="4" w:space="0" w:color="auto"/>
              <w:left w:val="single" w:sz="4" w:space="0" w:color="auto"/>
              <w:bottom w:val="single" w:sz="4" w:space="0" w:color="auto"/>
              <w:right w:val="single" w:sz="4" w:space="0" w:color="auto"/>
            </w:tcBorders>
            <w:vAlign w:val="center"/>
          </w:tcPr>
          <w:p w14:paraId="42FD9ADD" w14:textId="77777777" w:rsidR="00D92B92" w:rsidRDefault="00D92B92" w:rsidP="00D92B92">
            <w:pPr>
              <w:spacing w:before="72"/>
              <w:jc w:val="center"/>
            </w:pPr>
          </w:p>
        </w:tc>
        <w:tc>
          <w:tcPr>
            <w:tcW w:w="2926" w:type="dxa"/>
            <w:gridSpan w:val="2"/>
            <w:tcBorders>
              <w:top w:val="single" w:sz="4" w:space="0" w:color="auto"/>
              <w:left w:val="single" w:sz="4" w:space="0" w:color="auto"/>
              <w:bottom w:val="single" w:sz="4" w:space="0" w:color="auto"/>
              <w:right w:val="single" w:sz="4" w:space="0" w:color="auto"/>
            </w:tcBorders>
            <w:vAlign w:val="center"/>
            <w:hideMark/>
          </w:tcPr>
          <w:p w14:paraId="08E00E3B" w14:textId="247E6A95" w:rsidR="00D92B92" w:rsidRDefault="00D92B92" w:rsidP="00D92B92">
            <w:pPr>
              <w:spacing w:before="72"/>
              <w:jc w:val="center"/>
            </w:pPr>
            <w:r>
              <w:t>TRRC (0.5,0.1667)</w:t>
            </w:r>
          </w:p>
        </w:tc>
        <w:tc>
          <w:tcPr>
            <w:tcW w:w="3028" w:type="dxa"/>
            <w:gridSpan w:val="2"/>
            <w:tcBorders>
              <w:top w:val="single" w:sz="4" w:space="0" w:color="auto"/>
              <w:left w:val="single" w:sz="4" w:space="0" w:color="auto"/>
              <w:bottom w:val="single" w:sz="4" w:space="0" w:color="auto"/>
              <w:right w:val="single" w:sz="4" w:space="0" w:color="auto"/>
            </w:tcBorders>
            <w:vAlign w:val="center"/>
            <w:hideMark/>
          </w:tcPr>
          <w:p w14:paraId="7D80B45A" w14:textId="3D1CDD74" w:rsidR="00D92B92" w:rsidRDefault="00D92B92" w:rsidP="00D92B92">
            <w:pPr>
              <w:spacing w:before="72"/>
              <w:jc w:val="center"/>
            </w:pPr>
            <w:r>
              <w:t>3tap (-0.28,1, -0.28)</w:t>
            </w:r>
          </w:p>
        </w:tc>
      </w:tr>
      <w:tr w:rsidR="00B44D0C" w14:paraId="61B2FF6D"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C10D5EC" w14:textId="4E2F98AC" w:rsidR="00B44D0C" w:rsidRDefault="009B4E5F" w:rsidP="005E4303">
            <w:pPr>
              <w:spacing w:before="72"/>
              <w:jc w:val="center"/>
              <w:rPr>
                <w:color w:val="000000" w:themeColor="text1"/>
              </w:rPr>
            </w:pPr>
            <w:r>
              <w:rPr>
                <w:color w:val="000000" w:themeColor="text1"/>
              </w:rPr>
              <w:t>Code Rate</w:t>
            </w:r>
          </w:p>
        </w:tc>
        <w:tc>
          <w:tcPr>
            <w:tcW w:w="1483" w:type="dxa"/>
            <w:tcBorders>
              <w:top w:val="single" w:sz="4" w:space="0" w:color="auto"/>
              <w:left w:val="single" w:sz="4" w:space="0" w:color="auto"/>
              <w:bottom w:val="single" w:sz="4" w:space="0" w:color="auto"/>
              <w:right w:val="single" w:sz="4" w:space="0" w:color="auto"/>
            </w:tcBorders>
            <w:vAlign w:val="center"/>
          </w:tcPr>
          <w:p w14:paraId="6CEB8FCE" w14:textId="77777777" w:rsidR="00B44D0C" w:rsidRDefault="00B44D0C" w:rsidP="005E4303">
            <w:pPr>
              <w:spacing w:before="72"/>
              <w:jc w:val="center"/>
              <w:rPr>
                <w:color w:val="000000" w:themeColor="text1"/>
              </w:rPr>
            </w:pPr>
            <w:r>
              <w:rPr>
                <w:color w:val="000000" w:themeColor="text1"/>
              </w:rPr>
              <w:t>SE ratio = 1/8</w:t>
            </w:r>
          </w:p>
        </w:tc>
        <w:tc>
          <w:tcPr>
            <w:tcW w:w="1443" w:type="dxa"/>
            <w:tcBorders>
              <w:top w:val="single" w:sz="4" w:space="0" w:color="auto"/>
              <w:left w:val="single" w:sz="4" w:space="0" w:color="auto"/>
              <w:bottom w:val="single" w:sz="4" w:space="0" w:color="auto"/>
              <w:right w:val="single" w:sz="4" w:space="0" w:color="auto"/>
            </w:tcBorders>
            <w:vAlign w:val="center"/>
          </w:tcPr>
          <w:p w14:paraId="23F8C035" w14:textId="77777777" w:rsidR="00B44D0C" w:rsidRDefault="00B44D0C" w:rsidP="005E4303">
            <w:pPr>
              <w:spacing w:before="72"/>
              <w:jc w:val="center"/>
              <w:rPr>
                <w:color w:val="000000" w:themeColor="text1"/>
              </w:rPr>
            </w:pPr>
            <w:r>
              <w:rPr>
                <w:color w:val="000000" w:themeColor="text1"/>
              </w:rPr>
              <w:t>SE ratio = 1/4</w:t>
            </w:r>
          </w:p>
        </w:tc>
        <w:tc>
          <w:tcPr>
            <w:tcW w:w="1469" w:type="dxa"/>
            <w:tcBorders>
              <w:top w:val="single" w:sz="4" w:space="0" w:color="auto"/>
              <w:left w:val="single" w:sz="4" w:space="0" w:color="auto"/>
              <w:bottom w:val="single" w:sz="4" w:space="0" w:color="auto"/>
              <w:right w:val="single" w:sz="4" w:space="0" w:color="auto"/>
            </w:tcBorders>
            <w:vAlign w:val="center"/>
          </w:tcPr>
          <w:p w14:paraId="18F27A29" w14:textId="77777777" w:rsidR="00B44D0C" w:rsidRDefault="00B44D0C" w:rsidP="005E4303">
            <w:pPr>
              <w:spacing w:before="72"/>
              <w:jc w:val="center"/>
              <w:rPr>
                <w:color w:val="000000" w:themeColor="text1"/>
              </w:rPr>
            </w:pPr>
            <w:r>
              <w:rPr>
                <w:color w:val="000000" w:themeColor="text1"/>
              </w:rPr>
              <w:t>SE ratio = 1/8</w:t>
            </w:r>
          </w:p>
        </w:tc>
        <w:tc>
          <w:tcPr>
            <w:tcW w:w="1559" w:type="dxa"/>
            <w:tcBorders>
              <w:top w:val="single" w:sz="4" w:space="0" w:color="auto"/>
              <w:left w:val="single" w:sz="4" w:space="0" w:color="auto"/>
              <w:bottom w:val="single" w:sz="4" w:space="0" w:color="auto"/>
              <w:right w:val="single" w:sz="4" w:space="0" w:color="auto"/>
            </w:tcBorders>
            <w:vAlign w:val="center"/>
          </w:tcPr>
          <w:p w14:paraId="2945469F" w14:textId="3A679D60" w:rsidR="00B44D0C" w:rsidRDefault="00B44D0C" w:rsidP="00ED5B0B">
            <w:pPr>
              <w:spacing w:before="72"/>
              <w:jc w:val="center"/>
              <w:rPr>
                <w:color w:val="000000" w:themeColor="text1"/>
              </w:rPr>
            </w:pPr>
            <w:r>
              <w:rPr>
                <w:color w:val="000000" w:themeColor="text1"/>
              </w:rPr>
              <w:t>SE ratio = 1/</w:t>
            </w:r>
            <w:r w:rsidR="00ED5B0B">
              <w:rPr>
                <w:color w:val="000000" w:themeColor="text1"/>
              </w:rPr>
              <w:t>4</w:t>
            </w:r>
          </w:p>
        </w:tc>
      </w:tr>
      <w:tr w:rsidR="00B44D0C" w14:paraId="0545A036"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AFDE53F" w14:textId="77777777" w:rsidR="00B44D0C" w:rsidRDefault="00B44D0C" w:rsidP="00B44D0C">
            <w:pPr>
              <w:spacing w:before="72"/>
              <w:jc w:val="center"/>
              <w:rPr>
                <w:color w:val="000000" w:themeColor="text1"/>
              </w:rPr>
            </w:pPr>
            <w:r>
              <w:rPr>
                <w:color w:val="000000" w:themeColor="text1"/>
              </w:rPr>
              <w:t>1/8</w:t>
            </w:r>
          </w:p>
        </w:tc>
        <w:tc>
          <w:tcPr>
            <w:tcW w:w="1483" w:type="dxa"/>
            <w:tcBorders>
              <w:top w:val="single" w:sz="4" w:space="0" w:color="auto"/>
              <w:left w:val="single" w:sz="4" w:space="0" w:color="auto"/>
              <w:bottom w:val="single" w:sz="4" w:space="0" w:color="auto"/>
              <w:right w:val="single" w:sz="4" w:space="0" w:color="auto"/>
            </w:tcBorders>
            <w:hideMark/>
          </w:tcPr>
          <w:p w14:paraId="695063E5" w14:textId="7EE32FA7" w:rsidR="00B44D0C" w:rsidRDefault="00B44D0C" w:rsidP="00B44D0C">
            <w:pPr>
              <w:spacing w:before="72"/>
              <w:jc w:val="center"/>
              <w:rPr>
                <w:color w:val="000000" w:themeColor="text1"/>
              </w:rPr>
            </w:pPr>
            <w:r>
              <w:t>-0.13</w:t>
            </w:r>
          </w:p>
        </w:tc>
        <w:tc>
          <w:tcPr>
            <w:tcW w:w="1443" w:type="dxa"/>
            <w:tcBorders>
              <w:top w:val="single" w:sz="4" w:space="0" w:color="auto"/>
              <w:left w:val="single" w:sz="4" w:space="0" w:color="auto"/>
              <w:bottom w:val="single" w:sz="4" w:space="0" w:color="auto"/>
              <w:right w:val="single" w:sz="4" w:space="0" w:color="auto"/>
            </w:tcBorders>
            <w:hideMark/>
          </w:tcPr>
          <w:p w14:paraId="4C15495E" w14:textId="08BBA8C4" w:rsidR="00B44D0C" w:rsidRDefault="00B44D0C" w:rsidP="00B44D0C">
            <w:pPr>
              <w:spacing w:before="72"/>
              <w:jc w:val="center"/>
              <w:rPr>
                <w:color w:val="000000" w:themeColor="text1"/>
              </w:rPr>
            </w:pPr>
            <w:r>
              <w:t>-0.41</w:t>
            </w:r>
          </w:p>
        </w:tc>
        <w:tc>
          <w:tcPr>
            <w:tcW w:w="1469" w:type="dxa"/>
            <w:tcBorders>
              <w:top w:val="single" w:sz="4" w:space="0" w:color="auto"/>
              <w:left w:val="single" w:sz="4" w:space="0" w:color="auto"/>
              <w:bottom w:val="single" w:sz="4" w:space="0" w:color="auto"/>
              <w:right w:val="single" w:sz="4" w:space="0" w:color="auto"/>
            </w:tcBorders>
            <w:hideMark/>
          </w:tcPr>
          <w:p w14:paraId="67AC7AAE" w14:textId="7939639D" w:rsidR="00B44D0C" w:rsidRDefault="00B44D0C" w:rsidP="00B44D0C">
            <w:pPr>
              <w:spacing w:before="72"/>
              <w:jc w:val="center"/>
              <w:rPr>
                <w:color w:val="000000" w:themeColor="text1"/>
              </w:rPr>
            </w:pPr>
            <w:r>
              <w:t>-0.08</w:t>
            </w:r>
          </w:p>
        </w:tc>
        <w:tc>
          <w:tcPr>
            <w:tcW w:w="1559" w:type="dxa"/>
            <w:tcBorders>
              <w:top w:val="single" w:sz="4" w:space="0" w:color="auto"/>
              <w:left w:val="single" w:sz="4" w:space="0" w:color="auto"/>
              <w:bottom w:val="single" w:sz="4" w:space="0" w:color="auto"/>
              <w:right w:val="single" w:sz="4" w:space="0" w:color="auto"/>
            </w:tcBorders>
            <w:hideMark/>
          </w:tcPr>
          <w:p w14:paraId="5EEB55C0" w14:textId="4A4BD5C6" w:rsidR="00B44D0C" w:rsidRDefault="00B44D0C" w:rsidP="00B44D0C">
            <w:pPr>
              <w:spacing w:before="72"/>
              <w:jc w:val="center"/>
              <w:rPr>
                <w:color w:val="000000" w:themeColor="text1"/>
              </w:rPr>
            </w:pPr>
            <w:r>
              <w:t>-0.25</w:t>
            </w:r>
          </w:p>
        </w:tc>
      </w:tr>
      <w:tr w:rsidR="00B44D0C" w14:paraId="0B4BDBF5"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B1FFBF3" w14:textId="77777777" w:rsidR="00B44D0C" w:rsidRDefault="00B44D0C" w:rsidP="00B44D0C">
            <w:pPr>
              <w:spacing w:before="72"/>
              <w:jc w:val="center"/>
            </w:pPr>
            <w:r>
              <w:t>1/4</w:t>
            </w:r>
          </w:p>
        </w:tc>
        <w:tc>
          <w:tcPr>
            <w:tcW w:w="1483" w:type="dxa"/>
            <w:tcBorders>
              <w:top w:val="single" w:sz="4" w:space="0" w:color="auto"/>
              <w:left w:val="single" w:sz="4" w:space="0" w:color="auto"/>
              <w:bottom w:val="single" w:sz="4" w:space="0" w:color="auto"/>
              <w:right w:val="single" w:sz="4" w:space="0" w:color="auto"/>
            </w:tcBorders>
            <w:hideMark/>
          </w:tcPr>
          <w:p w14:paraId="75118C4A" w14:textId="740D72D0" w:rsidR="00B44D0C" w:rsidRDefault="00B44D0C" w:rsidP="00B44D0C">
            <w:pPr>
              <w:spacing w:before="72"/>
              <w:jc w:val="center"/>
            </w:pPr>
            <w:r>
              <w:t>-0.20</w:t>
            </w:r>
          </w:p>
        </w:tc>
        <w:tc>
          <w:tcPr>
            <w:tcW w:w="1443" w:type="dxa"/>
            <w:tcBorders>
              <w:top w:val="single" w:sz="4" w:space="0" w:color="auto"/>
              <w:left w:val="single" w:sz="4" w:space="0" w:color="auto"/>
              <w:bottom w:val="single" w:sz="4" w:space="0" w:color="auto"/>
              <w:right w:val="single" w:sz="4" w:space="0" w:color="auto"/>
            </w:tcBorders>
            <w:hideMark/>
          </w:tcPr>
          <w:p w14:paraId="3D3FEC1E" w14:textId="236A0547" w:rsidR="00B44D0C" w:rsidRDefault="00B44D0C" w:rsidP="00B44D0C">
            <w:pPr>
              <w:spacing w:before="72"/>
              <w:jc w:val="center"/>
            </w:pPr>
            <w:r>
              <w:t>-0.50</w:t>
            </w:r>
          </w:p>
        </w:tc>
        <w:tc>
          <w:tcPr>
            <w:tcW w:w="1469" w:type="dxa"/>
            <w:tcBorders>
              <w:top w:val="single" w:sz="4" w:space="0" w:color="auto"/>
              <w:left w:val="single" w:sz="4" w:space="0" w:color="auto"/>
              <w:bottom w:val="single" w:sz="4" w:space="0" w:color="auto"/>
              <w:right w:val="single" w:sz="4" w:space="0" w:color="auto"/>
            </w:tcBorders>
            <w:hideMark/>
          </w:tcPr>
          <w:p w14:paraId="585210D7" w14:textId="04291C22" w:rsidR="00B44D0C" w:rsidRDefault="00B44D0C" w:rsidP="00B44D0C">
            <w:pPr>
              <w:spacing w:before="72"/>
              <w:jc w:val="center"/>
            </w:pPr>
            <w:r>
              <w:t>-0.22</w:t>
            </w:r>
          </w:p>
        </w:tc>
        <w:tc>
          <w:tcPr>
            <w:tcW w:w="1559" w:type="dxa"/>
            <w:tcBorders>
              <w:top w:val="single" w:sz="4" w:space="0" w:color="auto"/>
              <w:left w:val="single" w:sz="4" w:space="0" w:color="auto"/>
              <w:bottom w:val="single" w:sz="4" w:space="0" w:color="auto"/>
              <w:right w:val="single" w:sz="4" w:space="0" w:color="auto"/>
            </w:tcBorders>
            <w:hideMark/>
          </w:tcPr>
          <w:p w14:paraId="5F5CEF0E" w14:textId="16BB3190" w:rsidR="00B44D0C" w:rsidRDefault="00B44D0C" w:rsidP="00B44D0C">
            <w:pPr>
              <w:spacing w:before="72"/>
              <w:jc w:val="center"/>
            </w:pPr>
            <w:r>
              <w:t>-0.36</w:t>
            </w:r>
          </w:p>
        </w:tc>
      </w:tr>
      <w:tr w:rsidR="00B44D0C" w14:paraId="644BEA00"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84200BF" w14:textId="77777777" w:rsidR="00B44D0C" w:rsidRDefault="00B44D0C" w:rsidP="00B44D0C">
            <w:pPr>
              <w:spacing w:before="72"/>
              <w:jc w:val="center"/>
            </w:pPr>
            <w:r>
              <w:t>1/2</w:t>
            </w:r>
          </w:p>
        </w:tc>
        <w:tc>
          <w:tcPr>
            <w:tcW w:w="1483" w:type="dxa"/>
            <w:tcBorders>
              <w:top w:val="single" w:sz="4" w:space="0" w:color="auto"/>
              <w:left w:val="single" w:sz="4" w:space="0" w:color="auto"/>
              <w:bottom w:val="single" w:sz="4" w:space="0" w:color="auto"/>
              <w:right w:val="single" w:sz="4" w:space="0" w:color="auto"/>
            </w:tcBorders>
            <w:hideMark/>
          </w:tcPr>
          <w:p w14:paraId="172388D0" w14:textId="3C1C6631" w:rsidR="00B44D0C" w:rsidRDefault="00B44D0C" w:rsidP="00B44D0C">
            <w:pPr>
              <w:spacing w:before="72"/>
              <w:jc w:val="center"/>
            </w:pPr>
            <w:r>
              <w:t>-0.30</w:t>
            </w:r>
          </w:p>
        </w:tc>
        <w:tc>
          <w:tcPr>
            <w:tcW w:w="1443" w:type="dxa"/>
            <w:tcBorders>
              <w:top w:val="single" w:sz="4" w:space="0" w:color="auto"/>
              <w:left w:val="single" w:sz="4" w:space="0" w:color="auto"/>
              <w:bottom w:val="single" w:sz="4" w:space="0" w:color="auto"/>
              <w:right w:val="single" w:sz="4" w:space="0" w:color="auto"/>
            </w:tcBorders>
            <w:hideMark/>
          </w:tcPr>
          <w:p w14:paraId="49445CEB" w14:textId="3252FFA9" w:rsidR="00B44D0C" w:rsidRDefault="00B44D0C" w:rsidP="00B44D0C">
            <w:pPr>
              <w:spacing w:before="72"/>
              <w:jc w:val="center"/>
            </w:pPr>
            <w:r>
              <w:t>-0.53</w:t>
            </w:r>
          </w:p>
        </w:tc>
        <w:tc>
          <w:tcPr>
            <w:tcW w:w="1469" w:type="dxa"/>
            <w:tcBorders>
              <w:top w:val="single" w:sz="4" w:space="0" w:color="auto"/>
              <w:left w:val="single" w:sz="4" w:space="0" w:color="auto"/>
              <w:bottom w:val="single" w:sz="4" w:space="0" w:color="auto"/>
              <w:right w:val="single" w:sz="4" w:space="0" w:color="auto"/>
            </w:tcBorders>
            <w:hideMark/>
          </w:tcPr>
          <w:p w14:paraId="5EAD768A" w14:textId="27A002F2" w:rsidR="00B44D0C" w:rsidRDefault="00B44D0C" w:rsidP="00B44D0C">
            <w:pPr>
              <w:spacing w:before="72"/>
              <w:jc w:val="center"/>
            </w:pPr>
            <w:r>
              <w:t>-0.35</w:t>
            </w:r>
          </w:p>
        </w:tc>
        <w:tc>
          <w:tcPr>
            <w:tcW w:w="1559" w:type="dxa"/>
            <w:tcBorders>
              <w:top w:val="single" w:sz="4" w:space="0" w:color="auto"/>
              <w:left w:val="single" w:sz="4" w:space="0" w:color="auto"/>
              <w:bottom w:val="single" w:sz="4" w:space="0" w:color="auto"/>
              <w:right w:val="single" w:sz="4" w:space="0" w:color="auto"/>
            </w:tcBorders>
            <w:hideMark/>
          </w:tcPr>
          <w:p w14:paraId="3FA97DCD" w14:textId="7FC7572C" w:rsidR="00B44D0C" w:rsidRDefault="00B44D0C" w:rsidP="00B44D0C">
            <w:pPr>
              <w:spacing w:before="72"/>
              <w:jc w:val="center"/>
            </w:pPr>
            <w:r>
              <w:t>-0.70</w:t>
            </w:r>
          </w:p>
        </w:tc>
      </w:tr>
    </w:tbl>
    <w:p w14:paraId="505BFEAE" w14:textId="6BD53860" w:rsidR="00B44D0C" w:rsidRPr="00910FE0" w:rsidRDefault="00B44D0C" w:rsidP="00B44D0C">
      <w:pPr>
        <w:spacing w:before="72"/>
        <w:jc w:val="center"/>
        <w:rPr>
          <w:b/>
        </w:rPr>
      </w:pPr>
      <w:r w:rsidRPr="00910FE0">
        <w:rPr>
          <w:b/>
        </w:rPr>
        <w:t>Table 3: SNR degradation of basic receiver compared to MRC receiver under 32 RB allocations</w:t>
      </w:r>
    </w:p>
    <w:tbl>
      <w:tblPr>
        <w:tblStyle w:val="af8"/>
        <w:tblW w:w="7083" w:type="dxa"/>
        <w:jc w:val="center"/>
        <w:tblLook w:val="04A0" w:firstRow="1" w:lastRow="0" w:firstColumn="1" w:lastColumn="0" w:noHBand="0" w:noVBand="1"/>
      </w:tblPr>
      <w:tblGrid>
        <w:gridCol w:w="1129"/>
        <w:gridCol w:w="1483"/>
        <w:gridCol w:w="1443"/>
        <w:gridCol w:w="1469"/>
        <w:gridCol w:w="1559"/>
      </w:tblGrid>
      <w:tr w:rsidR="00582383" w14:paraId="1512C656" w14:textId="77777777" w:rsidTr="005E4303">
        <w:trPr>
          <w:trHeight w:val="696"/>
          <w:jc w:val="center"/>
        </w:trPr>
        <w:tc>
          <w:tcPr>
            <w:tcW w:w="1129" w:type="dxa"/>
            <w:tcBorders>
              <w:top w:val="single" w:sz="4" w:space="0" w:color="auto"/>
              <w:left w:val="single" w:sz="4" w:space="0" w:color="auto"/>
              <w:bottom w:val="single" w:sz="4" w:space="0" w:color="auto"/>
              <w:right w:val="single" w:sz="4" w:space="0" w:color="auto"/>
            </w:tcBorders>
            <w:vAlign w:val="center"/>
          </w:tcPr>
          <w:p w14:paraId="74462F60" w14:textId="77777777" w:rsidR="00582383" w:rsidRDefault="00582383" w:rsidP="00582383">
            <w:pPr>
              <w:spacing w:before="72"/>
              <w:jc w:val="center"/>
            </w:pPr>
          </w:p>
        </w:tc>
        <w:tc>
          <w:tcPr>
            <w:tcW w:w="2926" w:type="dxa"/>
            <w:gridSpan w:val="2"/>
            <w:tcBorders>
              <w:top w:val="single" w:sz="4" w:space="0" w:color="auto"/>
              <w:left w:val="single" w:sz="4" w:space="0" w:color="auto"/>
              <w:bottom w:val="single" w:sz="4" w:space="0" w:color="auto"/>
              <w:right w:val="single" w:sz="4" w:space="0" w:color="auto"/>
            </w:tcBorders>
            <w:vAlign w:val="center"/>
            <w:hideMark/>
          </w:tcPr>
          <w:p w14:paraId="30DBF684" w14:textId="06D8F1F1" w:rsidR="00582383" w:rsidRDefault="00582383" w:rsidP="00582383">
            <w:pPr>
              <w:spacing w:before="72"/>
              <w:jc w:val="center"/>
            </w:pPr>
            <w:r>
              <w:t>TRRC (0.5,0.1667)</w:t>
            </w:r>
          </w:p>
        </w:tc>
        <w:tc>
          <w:tcPr>
            <w:tcW w:w="3028" w:type="dxa"/>
            <w:gridSpan w:val="2"/>
            <w:tcBorders>
              <w:top w:val="single" w:sz="4" w:space="0" w:color="auto"/>
              <w:left w:val="single" w:sz="4" w:space="0" w:color="auto"/>
              <w:bottom w:val="single" w:sz="4" w:space="0" w:color="auto"/>
              <w:right w:val="single" w:sz="4" w:space="0" w:color="auto"/>
            </w:tcBorders>
            <w:vAlign w:val="center"/>
            <w:hideMark/>
          </w:tcPr>
          <w:p w14:paraId="6991AFD1" w14:textId="1206DBC1" w:rsidR="00582383" w:rsidRDefault="00582383" w:rsidP="00582383">
            <w:pPr>
              <w:spacing w:before="72"/>
              <w:jc w:val="center"/>
            </w:pPr>
            <w:r>
              <w:t>3tap (-0.28,1, -0.28)</w:t>
            </w:r>
          </w:p>
        </w:tc>
      </w:tr>
      <w:tr w:rsidR="00B44D0C" w14:paraId="50AAB8FC"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C4F89D1" w14:textId="03BBC6A5" w:rsidR="00B44D0C" w:rsidRDefault="009B4E5F" w:rsidP="005E4303">
            <w:pPr>
              <w:spacing w:before="72"/>
              <w:jc w:val="center"/>
              <w:rPr>
                <w:color w:val="000000" w:themeColor="text1"/>
              </w:rPr>
            </w:pPr>
            <w:r>
              <w:rPr>
                <w:color w:val="000000" w:themeColor="text1"/>
              </w:rPr>
              <w:t>Code Rate</w:t>
            </w:r>
          </w:p>
        </w:tc>
        <w:tc>
          <w:tcPr>
            <w:tcW w:w="1483" w:type="dxa"/>
            <w:tcBorders>
              <w:top w:val="single" w:sz="4" w:space="0" w:color="auto"/>
              <w:left w:val="single" w:sz="4" w:space="0" w:color="auto"/>
              <w:bottom w:val="single" w:sz="4" w:space="0" w:color="auto"/>
              <w:right w:val="single" w:sz="4" w:space="0" w:color="auto"/>
            </w:tcBorders>
            <w:vAlign w:val="center"/>
          </w:tcPr>
          <w:p w14:paraId="6266CFB8" w14:textId="77777777" w:rsidR="00B44D0C" w:rsidRDefault="00B44D0C" w:rsidP="005E4303">
            <w:pPr>
              <w:spacing w:before="72"/>
              <w:jc w:val="center"/>
              <w:rPr>
                <w:color w:val="000000" w:themeColor="text1"/>
              </w:rPr>
            </w:pPr>
            <w:r>
              <w:rPr>
                <w:color w:val="000000" w:themeColor="text1"/>
              </w:rPr>
              <w:t>SE ratio = 1/8</w:t>
            </w:r>
          </w:p>
        </w:tc>
        <w:tc>
          <w:tcPr>
            <w:tcW w:w="1443" w:type="dxa"/>
            <w:tcBorders>
              <w:top w:val="single" w:sz="4" w:space="0" w:color="auto"/>
              <w:left w:val="single" w:sz="4" w:space="0" w:color="auto"/>
              <w:bottom w:val="single" w:sz="4" w:space="0" w:color="auto"/>
              <w:right w:val="single" w:sz="4" w:space="0" w:color="auto"/>
            </w:tcBorders>
            <w:vAlign w:val="center"/>
          </w:tcPr>
          <w:p w14:paraId="1D3BB9E9" w14:textId="77777777" w:rsidR="00B44D0C" w:rsidRDefault="00B44D0C" w:rsidP="005E4303">
            <w:pPr>
              <w:spacing w:before="72"/>
              <w:jc w:val="center"/>
              <w:rPr>
                <w:color w:val="000000" w:themeColor="text1"/>
              </w:rPr>
            </w:pPr>
            <w:r>
              <w:rPr>
                <w:color w:val="000000" w:themeColor="text1"/>
              </w:rPr>
              <w:t>SE ratio = 1/4</w:t>
            </w:r>
          </w:p>
        </w:tc>
        <w:tc>
          <w:tcPr>
            <w:tcW w:w="1469" w:type="dxa"/>
            <w:tcBorders>
              <w:top w:val="single" w:sz="4" w:space="0" w:color="auto"/>
              <w:left w:val="single" w:sz="4" w:space="0" w:color="auto"/>
              <w:bottom w:val="single" w:sz="4" w:space="0" w:color="auto"/>
              <w:right w:val="single" w:sz="4" w:space="0" w:color="auto"/>
            </w:tcBorders>
            <w:vAlign w:val="center"/>
          </w:tcPr>
          <w:p w14:paraId="1757E0FC" w14:textId="77777777" w:rsidR="00B44D0C" w:rsidRDefault="00B44D0C" w:rsidP="005E4303">
            <w:pPr>
              <w:spacing w:before="72"/>
              <w:jc w:val="center"/>
              <w:rPr>
                <w:color w:val="000000" w:themeColor="text1"/>
              </w:rPr>
            </w:pPr>
            <w:r>
              <w:rPr>
                <w:color w:val="000000" w:themeColor="text1"/>
              </w:rPr>
              <w:t>SE ratio = 1/8</w:t>
            </w:r>
          </w:p>
        </w:tc>
        <w:tc>
          <w:tcPr>
            <w:tcW w:w="1559" w:type="dxa"/>
            <w:tcBorders>
              <w:top w:val="single" w:sz="4" w:space="0" w:color="auto"/>
              <w:left w:val="single" w:sz="4" w:space="0" w:color="auto"/>
              <w:bottom w:val="single" w:sz="4" w:space="0" w:color="auto"/>
              <w:right w:val="single" w:sz="4" w:space="0" w:color="auto"/>
            </w:tcBorders>
            <w:vAlign w:val="center"/>
          </w:tcPr>
          <w:p w14:paraId="215EE603" w14:textId="7C71CC90" w:rsidR="00B44D0C" w:rsidRDefault="00B44D0C" w:rsidP="00ED5B0B">
            <w:pPr>
              <w:spacing w:before="72"/>
              <w:jc w:val="center"/>
              <w:rPr>
                <w:color w:val="000000" w:themeColor="text1"/>
              </w:rPr>
            </w:pPr>
            <w:r>
              <w:rPr>
                <w:color w:val="000000" w:themeColor="text1"/>
              </w:rPr>
              <w:t>SE ratio = 1/</w:t>
            </w:r>
            <w:r w:rsidR="00ED5B0B">
              <w:rPr>
                <w:color w:val="000000" w:themeColor="text1"/>
              </w:rPr>
              <w:t>4</w:t>
            </w:r>
          </w:p>
        </w:tc>
      </w:tr>
      <w:tr w:rsidR="00B44D0C" w14:paraId="7851C384"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08788B8" w14:textId="77777777" w:rsidR="00B44D0C" w:rsidRDefault="00B44D0C" w:rsidP="00B44D0C">
            <w:pPr>
              <w:spacing w:before="72"/>
              <w:jc w:val="center"/>
              <w:rPr>
                <w:color w:val="000000" w:themeColor="text1"/>
              </w:rPr>
            </w:pPr>
            <w:r>
              <w:rPr>
                <w:color w:val="000000" w:themeColor="text1"/>
              </w:rPr>
              <w:t>1/8</w:t>
            </w:r>
          </w:p>
        </w:tc>
        <w:tc>
          <w:tcPr>
            <w:tcW w:w="1483" w:type="dxa"/>
            <w:tcBorders>
              <w:top w:val="single" w:sz="4" w:space="0" w:color="auto"/>
              <w:left w:val="single" w:sz="4" w:space="0" w:color="auto"/>
              <w:bottom w:val="single" w:sz="4" w:space="0" w:color="auto"/>
              <w:right w:val="single" w:sz="4" w:space="0" w:color="auto"/>
            </w:tcBorders>
            <w:hideMark/>
          </w:tcPr>
          <w:p w14:paraId="2A94C746" w14:textId="79170B19" w:rsidR="00B44D0C" w:rsidRDefault="00B44D0C" w:rsidP="00B44D0C">
            <w:pPr>
              <w:spacing w:before="72"/>
              <w:jc w:val="center"/>
              <w:rPr>
                <w:color w:val="000000" w:themeColor="text1"/>
              </w:rPr>
            </w:pPr>
            <w:r>
              <w:rPr>
                <w:rFonts w:hint="eastAsia"/>
                <w:color w:val="000000" w:themeColor="text1"/>
              </w:rPr>
              <w:t>-</w:t>
            </w:r>
            <w:r>
              <w:rPr>
                <w:color w:val="000000" w:themeColor="text1"/>
              </w:rPr>
              <w:t>0.47</w:t>
            </w:r>
          </w:p>
        </w:tc>
        <w:tc>
          <w:tcPr>
            <w:tcW w:w="1443" w:type="dxa"/>
            <w:tcBorders>
              <w:top w:val="single" w:sz="4" w:space="0" w:color="auto"/>
              <w:left w:val="single" w:sz="4" w:space="0" w:color="auto"/>
              <w:bottom w:val="single" w:sz="4" w:space="0" w:color="auto"/>
              <w:right w:val="single" w:sz="4" w:space="0" w:color="auto"/>
            </w:tcBorders>
            <w:hideMark/>
          </w:tcPr>
          <w:p w14:paraId="28AD8666" w14:textId="357082DB" w:rsidR="00B44D0C" w:rsidRDefault="00B44D0C" w:rsidP="00B44D0C">
            <w:pPr>
              <w:spacing w:before="72"/>
              <w:jc w:val="center"/>
              <w:rPr>
                <w:color w:val="000000" w:themeColor="text1"/>
              </w:rPr>
            </w:pPr>
            <w:r>
              <w:rPr>
                <w:rFonts w:hint="eastAsia"/>
                <w:color w:val="000000" w:themeColor="text1"/>
              </w:rPr>
              <w:t>-</w:t>
            </w:r>
            <w:r>
              <w:rPr>
                <w:color w:val="000000" w:themeColor="text1"/>
              </w:rPr>
              <w:t>0.59</w:t>
            </w:r>
          </w:p>
        </w:tc>
        <w:tc>
          <w:tcPr>
            <w:tcW w:w="1469" w:type="dxa"/>
            <w:tcBorders>
              <w:top w:val="single" w:sz="4" w:space="0" w:color="auto"/>
              <w:left w:val="single" w:sz="4" w:space="0" w:color="auto"/>
              <w:bottom w:val="single" w:sz="4" w:space="0" w:color="auto"/>
              <w:right w:val="single" w:sz="4" w:space="0" w:color="auto"/>
            </w:tcBorders>
            <w:hideMark/>
          </w:tcPr>
          <w:p w14:paraId="2409B2D9" w14:textId="0E6CDE98" w:rsidR="00B44D0C" w:rsidRDefault="00B44D0C" w:rsidP="00B44D0C">
            <w:pPr>
              <w:spacing w:before="72"/>
              <w:jc w:val="center"/>
              <w:rPr>
                <w:color w:val="000000" w:themeColor="text1"/>
              </w:rPr>
            </w:pPr>
            <w:r>
              <w:rPr>
                <w:rFonts w:hint="eastAsia"/>
                <w:color w:val="000000" w:themeColor="text1"/>
              </w:rPr>
              <w:t>-</w:t>
            </w:r>
            <w:r>
              <w:rPr>
                <w:color w:val="000000" w:themeColor="text1"/>
              </w:rPr>
              <w:t>0.45</w:t>
            </w:r>
          </w:p>
        </w:tc>
        <w:tc>
          <w:tcPr>
            <w:tcW w:w="1559" w:type="dxa"/>
            <w:tcBorders>
              <w:top w:val="single" w:sz="4" w:space="0" w:color="auto"/>
              <w:left w:val="single" w:sz="4" w:space="0" w:color="auto"/>
              <w:bottom w:val="single" w:sz="4" w:space="0" w:color="auto"/>
              <w:right w:val="single" w:sz="4" w:space="0" w:color="auto"/>
            </w:tcBorders>
            <w:hideMark/>
          </w:tcPr>
          <w:p w14:paraId="231F06BA" w14:textId="1030E238" w:rsidR="00B44D0C" w:rsidRDefault="00B44D0C" w:rsidP="00B44D0C">
            <w:pPr>
              <w:spacing w:before="72"/>
              <w:jc w:val="center"/>
              <w:rPr>
                <w:color w:val="000000" w:themeColor="text1"/>
              </w:rPr>
            </w:pPr>
            <w:r>
              <w:rPr>
                <w:rFonts w:hint="eastAsia"/>
                <w:color w:val="000000" w:themeColor="text1"/>
              </w:rPr>
              <w:t>-</w:t>
            </w:r>
            <w:r>
              <w:rPr>
                <w:color w:val="000000" w:themeColor="text1"/>
              </w:rPr>
              <w:t>0.55</w:t>
            </w:r>
          </w:p>
        </w:tc>
      </w:tr>
      <w:tr w:rsidR="00B44D0C" w14:paraId="1B7E8F17"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3C696C3" w14:textId="77777777" w:rsidR="00B44D0C" w:rsidRDefault="00B44D0C" w:rsidP="00B44D0C">
            <w:pPr>
              <w:spacing w:before="72"/>
              <w:jc w:val="center"/>
            </w:pPr>
            <w:r>
              <w:t>1/4</w:t>
            </w:r>
          </w:p>
        </w:tc>
        <w:tc>
          <w:tcPr>
            <w:tcW w:w="1483" w:type="dxa"/>
            <w:tcBorders>
              <w:top w:val="single" w:sz="4" w:space="0" w:color="auto"/>
              <w:left w:val="single" w:sz="4" w:space="0" w:color="auto"/>
              <w:bottom w:val="single" w:sz="4" w:space="0" w:color="auto"/>
              <w:right w:val="single" w:sz="4" w:space="0" w:color="auto"/>
            </w:tcBorders>
            <w:hideMark/>
          </w:tcPr>
          <w:p w14:paraId="2492A1C4" w14:textId="41CA953E" w:rsidR="00B44D0C" w:rsidRDefault="00B44D0C" w:rsidP="00B44D0C">
            <w:pPr>
              <w:spacing w:before="72"/>
              <w:jc w:val="center"/>
            </w:pPr>
            <w:r>
              <w:rPr>
                <w:rFonts w:hint="eastAsia"/>
              </w:rPr>
              <w:t>-</w:t>
            </w:r>
            <w:r>
              <w:t>0.48</w:t>
            </w:r>
          </w:p>
        </w:tc>
        <w:tc>
          <w:tcPr>
            <w:tcW w:w="1443" w:type="dxa"/>
            <w:tcBorders>
              <w:top w:val="single" w:sz="4" w:space="0" w:color="auto"/>
              <w:left w:val="single" w:sz="4" w:space="0" w:color="auto"/>
              <w:bottom w:val="single" w:sz="4" w:space="0" w:color="auto"/>
              <w:right w:val="single" w:sz="4" w:space="0" w:color="auto"/>
            </w:tcBorders>
            <w:hideMark/>
          </w:tcPr>
          <w:p w14:paraId="28549779" w14:textId="1B82D582" w:rsidR="00B44D0C" w:rsidRDefault="00B44D0C" w:rsidP="00B44D0C">
            <w:pPr>
              <w:spacing w:before="72"/>
              <w:jc w:val="center"/>
            </w:pPr>
            <w:r>
              <w:rPr>
                <w:rFonts w:hint="eastAsia"/>
              </w:rPr>
              <w:t>-</w:t>
            </w:r>
            <w:r>
              <w:t>0.65</w:t>
            </w:r>
          </w:p>
        </w:tc>
        <w:tc>
          <w:tcPr>
            <w:tcW w:w="1469" w:type="dxa"/>
            <w:tcBorders>
              <w:top w:val="single" w:sz="4" w:space="0" w:color="auto"/>
              <w:left w:val="single" w:sz="4" w:space="0" w:color="auto"/>
              <w:bottom w:val="single" w:sz="4" w:space="0" w:color="auto"/>
              <w:right w:val="single" w:sz="4" w:space="0" w:color="auto"/>
            </w:tcBorders>
            <w:hideMark/>
          </w:tcPr>
          <w:p w14:paraId="5043CA6F" w14:textId="7FB1947E" w:rsidR="00B44D0C" w:rsidRDefault="00B44D0C" w:rsidP="00B44D0C">
            <w:pPr>
              <w:spacing w:before="72"/>
              <w:jc w:val="center"/>
            </w:pPr>
            <w:r>
              <w:rPr>
                <w:rFonts w:hint="eastAsia"/>
              </w:rPr>
              <w:t>-</w:t>
            </w:r>
            <w:r>
              <w:t>0.5</w:t>
            </w:r>
          </w:p>
        </w:tc>
        <w:tc>
          <w:tcPr>
            <w:tcW w:w="1559" w:type="dxa"/>
            <w:tcBorders>
              <w:top w:val="single" w:sz="4" w:space="0" w:color="auto"/>
              <w:left w:val="single" w:sz="4" w:space="0" w:color="auto"/>
              <w:bottom w:val="single" w:sz="4" w:space="0" w:color="auto"/>
              <w:right w:val="single" w:sz="4" w:space="0" w:color="auto"/>
            </w:tcBorders>
            <w:hideMark/>
          </w:tcPr>
          <w:p w14:paraId="53B9D71E" w14:textId="788828E1" w:rsidR="00B44D0C" w:rsidRDefault="00B44D0C" w:rsidP="00B44D0C">
            <w:pPr>
              <w:spacing w:before="72"/>
              <w:jc w:val="center"/>
            </w:pPr>
            <w:r>
              <w:rPr>
                <w:rFonts w:hint="eastAsia"/>
              </w:rPr>
              <w:t>-</w:t>
            </w:r>
            <w:r>
              <w:t>0.59</w:t>
            </w:r>
          </w:p>
        </w:tc>
      </w:tr>
      <w:tr w:rsidR="00B44D0C" w14:paraId="52FCDE27" w14:textId="77777777" w:rsidTr="005E4303">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441C20" w14:textId="77777777" w:rsidR="00B44D0C" w:rsidRDefault="00B44D0C" w:rsidP="00B44D0C">
            <w:pPr>
              <w:spacing w:before="72"/>
              <w:jc w:val="center"/>
            </w:pPr>
            <w:r>
              <w:t>1/2</w:t>
            </w:r>
          </w:p>
        </w:tc>
        <w:tc>
          <w:tcPr>
            <w:tcW w:w="1483" w:type="dxa"/>
            <w:tcBorders>
              <w:top w:val="single" w:sz="4" w:space="0" w:color="auto"/>
              <w:left w:val="single" w:sz="4" w:space="0" w:color="auto"/>
              <w:bottom w:val="single" w:sz="4" w:space="0" w:color="auto"/>
              <w:right w:val="single" w:sz="4" w:space="0" w:color="auto"/>
            </w:tcBorders>
            <w:hideMark/>
          </w:tcPr>
          <w:p w14:paraId="0CF7EF5D" w14:textId="59395777" w:rsidR="00B44D0C" w:rsidRDefault="00B44D0C" w:rsidP="00B44D0C">
            <w:pPr>
              <w:spacing w:before="72"/>
              <w:jc w:val="center"/>
            </w:pPr>
            <w:r>
              <w:rPr>
                <w:rFonts w:hint="eastAsia"/>
              </w:rPr>
              <w:t>-</w:t>
            </w:r>
            <w:r>
              <w:t>0.59</w:t>
            </w:r>
          </w:p>
        </w:tc>
        <w:tc>
          <w:tcPr>
            <w:tcW w:w="1443" w:type="dxa"/>
            <w:tcBorders>
              <w:top w:val="single" w:sz="4" w:space="0" w:color="auto"/>
              <w:left w:val="single" w:sz="4" w:space="0" w:color="auto"/>
              <w:bottom w:val="single" w:sz="4" w:space="0" w:color="auto"/>
              <w:right w:val="single" w:sz="4" w:space="0" w:color="auto"/>
            </w:tcBorders>
            <w:hideMark/>
          </w:tcPr>
          <w:p w14:paraId="1EA6804E" w14:textId="525DA475" w:rsidR="00B44D0C" w:rsidRDefault="00B44D0C" w:rsidP="00B44D0C">
            <w:pPr>
              <w:spacing w:before="72"/>
              <w:jc w:val="center"/>
            </w:pPr>
            <w:r>
              <w:rPr>
                <w:rFonts w:hint="eastAsia"/>
              </w:rPr>
              <w:t>-</w:t>
            </w:r>
            <w:r>
              <w:t>0.75</w:t>
            </w:r>
          </w:p>
        </w:tc>
        <w:tc>
          <w:tcPr>
            <w:tcW w:w="1469" w:type="dxa"/>
            <w:tcBorders>
              <w:top w:val="single" w:sz="4" w:space="0" w:color="auto"/>
              <w:left w:val="single" w:sz="4" w:space="0" w:color="auto"/>
              <w:bottom w:val="single" w:sz="4" w:space="0" w:color="auto"/>
              <w:right w:val="single" w:sz="4" w:space="0" w:color="auto"/>
            </w:tcBorders>
            <w:hideMark/>
          </w:tcPr>
          <w:p w14:paraId="7494E8AE" w14:textId="69728180" w:rsidR="00B44D0C" w:rsidRDefault="00B44D0C" w:rsidP="00B44D0C">
            <w:pPr>
              <w:spacing w:before="72"/>
              <w:jc w:val="center"/>
            </w:pPr>
            <w:r>
              <w:rPr>
                <w:rFonts w:hint="eastAsia"/>
              </w:rPr>
              <w:t>-</w:t>
            </w:r>
            <w:r>
              <w:t>0.68</w:t>
            </w:r>
          </w:p>
        </w:tc>
        <w:tc>
          <w:tcPr>
            <w:tcW w:w="1559" w:type="dxa"/>
            <w:tcBorders>
              <w:top w:val="single" w:sz="4" w:space="0" w:color="auto"/>
              <w:left w:val="single" w:sz="4" w:space="0" w:color="auto"/>
              <w:bottom w:val="single" w:sz="4" w:space="0" w:color="auto"/>
              <w:right w:val="single" w:sz="4" w:space="0" w:color="auto"/>
            </w:tcBorders>
            <w:hideMark/>
          </w:tcPr>
          <w:p w14:paraId="0FAF4BD5" w14:textId="4F5AEF5D" w:rsidR="00B44D0C" w:rsidRDefault="00B44D0C" w:rsidP="00B44D0C">
            <w:pPr>
              <w:spacing w:before="72"/>
              <w:jc w:val="center"/>
            </w:pPr>
            <w:r>
              <w:rPr>
                <w:rFonts w:hint="eastAsia"/>
              </w:rPr>
              <w:t>-</w:t>
            </w:r>
            <w:r>
              <w:t>0.8</w:t>
            </w:r>
          </w:p>
        </w:tc>
      </w:tr>
    </w:tbl>
    <w:p w14:paraId="2E45C16D" w14:textId="08CBC903" w:rsidR="005E4303" w:rsidRDefault="005E4303" w:rsidP="00D54496">
      <w:pPr>
        <w:jc w:val="both"/>
        <w:rPr>
          <w:lang w:eastAsia="en-US"/>
        </w:rPr>
      </w:pPr>
      <w:r>
        <w:rPr>
          <w:lang w:eastAsia="en-US"/>
        </w:rPr>
        <w:t xml:space="preserve">The above three tables </w:t>
      </w:r>
      <w:r w:rsidR="00153117">
        <w:rPr>
          <w:lang w:eastAsia="en-US"/>
        </w:rPr>
        <w:t>show the demodulation threshold degradation when MRC receiver</w:t>
      </w:r>
      <w:r w:rsidR="00ED5B0B">
        <w:rPr>
          <w:lang w:eastAsia="en-US"/>
        </w:rPr>
        <w:t xml:space="preserve"> is disabled</w:t>
      </w:r>
      <w:r w:rsidR="00F67A34">
        <w:rPr>
          <w:lang w:eastAsia="en-US"/>
        </w:rPr>
        <w:t xml:space="preserve">. What can be comprehended is that when MRC receiver is not utilized, </w:t>
      </w:r>
      <w:r w:rsidR="00F67A34">
        <w:t xml:space="preserve">the extended part will be dropped directly, so </w:t>
      </w:r>
      <w:r w:rsidR="006E5D35">
        <w:t xml:space="preserve">up to 1dB loss can be observed especially with relatively high SE ratio and coding rate. </w:t>
      </w:r>
      <w:r w:rsidR="00F67A34">
        <w:t xml:space="preserve"> </w:t>
      </w:r>
      <w:r w:rsidR="00F67A34">
        <w:rPr>
          <w:lang w:eastAsia="en-US"/>
        </w:rPr>
        <w:t xml:space="preserve"> </w:t>
      </w:r>
      <w:r w:rsidR="00153117">
        <w:rPr>
          <w:lang w:eastAsia="en-US"/>
        </w:rPr>
        <w:t xml:space="preserve">  </w:t>
      </w:r>
    </w:p>
    <w:p w14:paraId="2BBFB59F" w14:textId="19A3D215" w:rsidR="00273EF3" w:rsidRDefault="006E5D35" w:rsidP="006E5D35">
      <w:pPr>
        <w:jc w:val="both"/>
        <w:rPr>
          <w:b/>
          <w:i/>
        </w:rPr>
      </w:pPr>
      <w:r>
        <w:rPr>
          <w:b/>
          <w:i/>
        </w:rPr>
        <w:t>Observation</w:t>
      </w:r>
      <w:r w:rsidRPr="0056168B">
        <w:rPr>
          <w:b/>
          <w:i/>
        </w:rPr>
        <w:t xml:space="preserve"> 1:</w:t>
      </w:r>
      <w:r>
        <w:rPr>
          <w:b/>
          <w:i/>
        </w:rPr>
        <w:t xml:space="preserve"> </w:t>
      </w:r>
      <w:r w:rsidR="00273EF3">
        <w:rPr>
          <w:b/>
          <w:i/>
        </w:rPr>
        <w:t xml:space="preserve">Enabling MRC receiver could introduce ~0.5dB gain among certain combinations of filter coefficients, RB allocation number, spectrum extension ratio and coding rate. </w:t>
      </w:r>
    </w:p>
    <w:p w14:paraId="5824D7F4" w14:textId="56B96B1D" w:rsidR="00273EF3" w:rsidRDefault="000C5923" w:rsidP="00D54496">
      <w:pPr>
        <w:jc w:val="both"/>
        <w:rPr>
          <w:lang w:eastAsia="en-US"/>
        </w:rPr>
      </w:pPr>
      <w:r>
        <w:rPr>
          <w:lang w:eastAsia="en-US"/>
        </w:rPr>
        <w:t>Obviously such loss is not negligible. D</w:t>
      </w:r>
      <w:r w:rsidR="00273EF3">
        <w:rPr>
          <w:lang w:eastAsia="en-US"/>
        </w:rPr>
        <w:t xml:space="preserve">ue to the fact that whether to consider MRC receiver is up to </w:t>
      </w:r>
      <w:proofErr w:type="spellStart"/>
      <w:r w:rsidR="00273EF3">
        <w:rPr>
          <w:lang w:eastAsia="en-US"/>
        </w:rPr>
        <w:t>gNB</w:t>
      </w:r>
      <w:proofErr w:type="spellEnd"/>
      <w:r w:rsidR="00273EF3">
        <w:rPr>
          <w:lang w:eastAsia="en-US"/>
        </w:rPr>
        <w:t xml:space="preserve"> implementation, we think the </w:t>
      </w:r>
      <w:r w:rsidR="00457FD8">
        <w:rPr>
          <w:lang w:eastAsia="en-US"/>
        </w:rPr>
        <w:t xml:space="preserve">net </w:t>
      </w:r>
      <w:r w:rsidR="00273EF3">
        <w:rPr>
          <w:lang w:eastAsia="en-US"/>
        </w:rPr>
        <w:t xml:space="preserve">gain evaluation </w:t>
      </w:r>
      <w:r w:rsidR="00457FD8">
        <w:rPr>
          <w:lang w:eastAsia="en-US"/>
        </w:rPr>
        <w:t xml:space="preserve">should presume no MRC, since it will be </w:t>
      </w:r>
      <w:r>
        <w:rPr>
          <w:lang w:eastAsia="en-US"/>
        </w:rPr>
        <w:t>reflected in the spec</w:t>
      </w:r>
      <w:r w:rsidR="00457FD8">
        <w:rPr>
          <w:lang w:eastAsia="en-US"/>
        </w:rPr>
        <w:t xml:space="preserve"> as</w:t>
      </w:r>
      <w:r>
        <w:rPr>
          <w:lang w:eastAsia="en-US"/>
        </w:rPr>
        <w:t xml:space="preserve"> new</w:t>
      </w:r>
      <w:r w:rsidR="00457FD8">
        <w:rPr>
          <w:lang w:eastAsia="en-US"/>
        </w:rPr>
        <w:t xml:space="preserve"> MPR requirements</w:t>
      </w:r>
      <w:r>
        <w:rPr>
          <w:lang w:eastAsia="en-US"/>
        </w:rPr>
        <w:t xml:space="preserve"> for</w:t>
      </w:r>
      <w:r w:rsidRPr="000C5923">
        <w:rPr>
          <w:lang w:eastAsia="en-US"/>
        </w:rPr>
        <w:t xml:space="preserve"> </w:t>
      </w:r>
      <w:r>
        <w:rPr>
          <w:lang w:eastAsia="en-US"/>
        </w:rPr>
        <w:t xml:space="preserve">FDSS with spectrum extension.  </w:t>
      </w:r>
      <w:r w:rsidR="00457FD8">
        <w:rPr>
          <w:lang w:eastAsia="en-US"/>
        </w:rPr>
        <w:t xml:space="preserve">  </w:t>
      </w:r>
      <w:r w:rsidR="00273EF3">
        <w:rPr>
          <w:lang w:eastAsia="en-US"/>
        </w:rPr>
        <w:t xml:space="preserve"> </w:t>
      </w:r>
    </w:p>
    <w:p w14:paraId="4C0D77FF" w14:textId="6D80A49B" w:rsidR="00457FD8" w:rsidRDefault="00457FD8" w:rsidP="00D54496">
      <w:pPr>
        <w:jc w:val="both"/>
        <w:rPr>
          <w:b/>
          <w:i/>
        </w:rPr>
      </w:pPr>
      <w:r>
        <w:rPr>
          <w:b/>
          <w:i/>
        </w:rPr>
        <w:t>Proposal</w:t>
      </w:r>
      <w:r w:rsidRPr="0056168B">
        <w:rPr>
          <w:b/>
          <w:i/>
        </w:rPr>
        <w:t xml:space="preserve"> 1:</w:t>
      </w:r>
      <w:r>
        <w:rPr>
          <w:b/>
          <w:i/>
        </w:rPr>
        <w:t xml:space="preserve"> The MRC receiver should not be considered for the evaluation of </w:t>
      </w:r>
      <w:r w:rsidR="000C5923">
        <w:rPr>
          <w:b/>
          <w:i/>
        </w:rPr>
        <w:t>the net gain</w:t>
      </w:r>
      <w:r w:rsidR="00755B4B">
        <w:rPr>
          <w:b/>
          <w:i/>
        </w:rPr>
        <w:t xml:space="preserve"> towards spectrum extension scheme.</w:t>
      </w:r>
      <w:r w:rsidR="000C5923">
        <w:rPr>
          <w:b/>
          <w:i/>
        </w:rPr>
        <w:t xml:space="preserve"> </w:t>
      </w:r>
      <w:r>
        <w:rPr>
          <w:b/>
          <w:i/>
        </w:rPr>
        <w:t xml:space="preserve">  </w:t>
      </w:r>
    </w:p>
    <w:p w14:paraId="28DFB4B2" w14:textId="191292D6" w:rsidR="00966177" w:rsidRDefault="00DA371C" w:rsidP="00755B4B">
      <w:pPr>
        <w:rPr>
          <w:lang w:eastAsia="en-US"/>
        </w:rPr>
      </w:pPr>
      <w:r>
        <w:rPr>
          <w:b/>
          <w:sz w:val="24"/>
          <w:u w:val="single"/>
          <w:lang w:eastAsia="en-US"/>
        </w:rPr>
        <w:t>Total</w:t>
      </w:r>
      <w:r w:rsidR="0001508E">
        <w:rPr>
          <w:b/>
          <w:sz w:val="24"/>
          <w:u w:val="single"/>
          <w:lang w:eastAsia="en-US"/>
        </w:rPr>
        <w:t xml:space="preserve"> gain</w:t>
      </w:r>
      <w:r w:rsidR="008C4225">
        <w:rPr>
          <w:b/>
          <w:sz w:val="24"/>
          <w:u w:val="single"/>
          <w:lang w:eastAsia="en-US"/>
        </w:rPr>
        <w:t xml:space="preserve"> (power boost gain minus BLER loss)</w:t>
      </w:r>
    </w:p>
    <w:p w14:paraId="02B8FB00" w14:textId="77777777" w:rsidR="00213C3C" w:rsidRDefault="00BF6F48" w:rsidP="00213C3C">
      <w:pPr>
        <w:tabs>
          <w:tab w:val="left" w:pos="1170"/>
        </w:tabs>
        <w:jc w:val="both"/>
        <w:rPr>
          <w:lang w:eastAsia="en-US"/>
        </w:rPr>
      </w:pPr>
      <w:r>
        <w:rPr>
          <w:lang w:eastAsia="en-US"/>
        </w:rPr>
        <w:t>As agreed in [</w:t>
      </w:r>
      <w:r w:rsidR="00F905D7">
        <w:rPr>
          <w:lang w:eastAsia="en-US"/>
        </w:rPr>
        <w:t>7</w:t>
      </w:r>
      <w:r>
        <w:rPr>
          <w:lang w:eastAsia="en-US"/>
        </w:rPr>
        <w:t>]</w:t>
      </w:r>
      <w:r w:rsidR="00F905D7">
        <w:rPr>
          <w:lang w:eastAsia="en-US"/>
        </w:rPr>
        <w:t xml:space="preserve">, the power boost gain </w:t>
      </w:r>
      <w:r w:rsidR="00213C3C">
        <w:rPr>
          <w:lang w:eastAsia="en-US"/>
        </w:rPr>
        <w:t>shall be reported comparing to the known baseline, i.e., “QPSK DFT-s-OFDM without any filter”. Besides, the net gain is defined as the power boost gain minus BLER loss. The simulation results are provided towards the following cases.</w:t>
      </w:r>
    </w:p>
    <w:p w14:paraId="707D0439" w14:textId="07A641A0" w:rsidR="00213C3C" w:rsidRPr="00910FE0" w:rsidRDefault="00213C3C" w:rsidP="00213C3C">
      <w:pPr>
        <w:spacing w:before="72"/>
        <w:jc w:val="center"/>
        <w:rPr>
          <w:b/>
        </w:rPr>
      </w:pPr>
      <w:r w:rsidRPr="00910FE0">
        <w:rPr>
          <w:b/>
        </w:rPr>
        <w:t>Table 4: Simulation cases as per the agreement in RAN1#112</w:t>
      </w:r>
    </w:p>
    <w:tbl>
      <w:tblPr>
        <w:tblStyle w:val="af8"/>
        <w:tblW w:w="0" w:type="auto"/>
        <w:jc w:val="center"/>
        <w:tblLayout w:type="fixed"/>
        <w:tblLook w:val="04A0" w:firstRow="1" w:lastRow="0" w:firstColumn="1" w:lastColumn="0" w:noHBand="0" w:noVBand="1"/>
      </w:tblPr>
      <w:tblGrid>
        <w:gridCol w:w="953"/>
        <w:gridCol w:w="953"/>
        <w:gridCol w:w="1551"/>
        <w:gridCol w:w="1032"/>
        <w:gridCol w:w="1378"/>
        <w:gridCol w:w="1353"/>
        <w:gridCol w:w="1099"/>
      </w:tblGrid>
      <w:tr w:rsidR="00D05F70" w:rsidRPr="00FF7A6B" w14:paraId="66730BE3" w14:textId="77777777" w:rsidTr="00D05F70">
        <w:trPr>
          <w:trHeight w:val="220"/>
          <w:jc w:val="center"/>
        </w:trPr>
        <w:tc>
          <w:tcPr>
            <w:tcW w:w="3457" w:type="dxa"/>
            <w:gridSpan w:val="3"/>
            <w:vAlign w:val="center"/>
          </w:tcPr>
          <w:p w14:paraId="71DC6BB6"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No spectrum extension</w:t>
            </w:r>
          </w:p>
        </w:tc>
        <w:tc>
          <w:tcPr>
            <w:tcW w:w="4862" w:type="dxa"/>
            <w:gridSpan w:val="4"/>
            <w:vAlign w:val="center"/>
            <w:hideMark/>
          </w:tcPr>
          <w:p w14:paraId="301D131D"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With spectrum extension</w:t>
            </w:r>
          </w:p>
        </w:tc>
      </w:tr>
      <w:tr w:rsidR="00D05F70" w:rsidRPr="00FF7A6B" w14:paraId="423D5CDE" w14:textId="77777777" w:rsidTr="00D05F70">
        <w:trPr>
          <w:trHeight w:val="827"/>
          <w:jc w:val="center"/>
        </w:trPr>
        <w:tc>
          <w:tcPr>
            <w:tcW w:w="953" w:type="dxa"/>
            <w:vAlign w:val="center"/>
          </w:tcPr>
          <w:p w14:paraId="050CE4EF" w14:textId="2486EFAA"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Pr>
                <w:rFonts w:ascii="Times New Roman" w:hAnsi="Times New Roman" w:cs="Times New Roman"/>
                <w:b/>
                <w:bCs/>
                <w:sz w:val="20"/>
                <w:szCs w:val="20"/>
                <w:lang w:val="fr-FR" w:eastAsia="fr-FR"/>
              </w:rPr>
              <w:lastRenderedPageBreak/>
              <w:t>C</w:t>
            </w:r>
            <w:r w:rsidRPr="00D05F70">
              <w:rPr>
                <w:rFonts w:ascii="Times New Roman" w:hAnsi="Times New Roman" w:cs="Times New Roman"/>
                <w:b/>
                <w:bCs/>
                <w:sz w:val="20"/>
                <w:szCs w:val="20"/>
                <w:lang w:val="fr-FR" w:eastAsia="fr-FR"/>
              </w:rPr>
              <w:t>ase</w:t>
            </w:r>
          </w:p>
        </w:tc>
        <w:tc>
          <w:tcPr>
            <w:tcW w:w="953" w:type="dxa"/>
            <w:vAlign w:val="center"/>
            <w:hideMark/>
          </w:tcPr>
          <w:p w14:paraId="5AB755FA" w14:textId="1AE48C5C" w:rsidR="00D05F70" w:rsidRPr="00D05F70" w:rsidRDefault="005455B1" w:rsidP="00D05F70">
            <w:pPr>
              <w:pStyle w:val="xmsonormal"/>
              <w:spacing w:before="93"/>
              <w:jc w:val="center"/>
              <w:rPr>
                <w:rFonts w:ascii="Times New Roman" w:hAnsi="Times New Roman" w:cs="Times New Roman"/>
                <w:b/>
                <w:bCs/>
                <w:sz w:val="20"/>
                <w:szCs w:val="20"/>
                <w:lang w:val="fr-FR" w:eastAsia="fr-FR"/>
              </w:rPr>
            </w:pPr>
            <w:r>
              <w:rPr>
                <w:rFonts w:ascii="Times New Roman" w:hAnsi="Times New Roman" w:cs="Times New Roman"/>
                <w:b/>
                <w:bCs/>
                <w:sz w:val="20"/>
                <w:szCs w:val="20"/>
                <w:lang w:val="fr-FR" w:eastAsia="fr-FR"/>
              </w:rPr>
              <w:t>#PRBs</w:t>
            </w:r>
          </w:p>
        </w:tc>
        <w:tc>
          <w:tcPr>
            <w:tcW w:w="1551" w:type="dxa"/>
            <w:vAlign w:val="center"/>
            <w:hideMark/>
          </w:tcPr>
          <w:p w14:paraId="466A37A7"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MCS</w:t>
            </w:r>
          </w:p>
        </w:tc>
        <w:tc>
          <w:tcPr>
            <w:tcW w:w="1032" w:type="dxa"/>
            <w:vAlign w:val="center"/>
            <w:hideMark/>
          </w:tcPr>
          <w:p w14:paraId="73E5E7B8"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#PRBs before extension</w:t>
            </w:r>
          </w:p>
        </w:tc>
        <w:tc>
          <w:tcPr>
            <w:tcW w:w="1378" w:type="dxa"/>
            <w:vAlign w:val="center"/>
            <w:hideMark/>
          </w:tcPr>
          <w:p w14:paraId="55F766D1"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#PRBs after extension</w:t>
            </w:r>
          </w:p>
        </w:tc>
        <w:tc>
          <w:tcPr>
            <w:tcW w:w="1353" w:type="dxa"/>
            <w:vAlign w:val="center"/>
            <w:hideMark/>
          </w:tcPr>
          <w:p w14:paraId="0F304C33"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MCS</w:t>
            </w:r>
          </w:p>
        </w:tc>
        <w:tc>
          <w:tcPr>
            <w:tcW w:w="1099" w:type="dxa"/>
            <w:vAlign w:val="center"/>
            <w:hideMark/>
          </w:tcPr>
          <w:p w14:paraId="4AE8060F"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Spectrum extension factor</w:t>
            </w:r>
          </w:p>
        </w:tc>
      </w:tr>
      <w:tr w:rsidR="00D05F70" w:rsidRPr="004A11EE" w14:paraId="4E8B2AF0" w14:textId="77777777" w:rsidTr="005455B1">
        <w:trPr>
          <w:trHeight w:val="416"/>
          <w:jc w:val="center"/>
        </w:trPr>
        <w:tc>
          <w:tcPr>
            <w:tcW w:w="953" w:type="dxa"/>
            <w:vAlign w:val="center"/>
          </w:tcPr>
          <w:p w14:paraId="47208E4F" w14:textId="77777777" w:rsidR="00D05F70" w:rsidRPr="005455B1" w:rsidRDefault="00D05F70"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1</w:t>
            </w:r>
          </w:p>
        </w:tc>
        <w:tc>
          <w:tcPr>
            <w:tcW w:w="953" w:type="dxa"/>
            <w:vAlign w:val="center"/>
            <w:hideMark/>
          </w:tcPr>
          <w:p w14:paraId="4700487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551" w:type="dxa"/>
            <w:vAlign w:val="center"/>
            <w:hideMark/>
          </w:tcPr>
          <w:p w14:paraId="70E9AA71" w14:textId="4CE96303"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0</w:t>
            </w:r>
          </w:p>
          <w:p w14:paraId="4F3C9262"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[only QPSK]</w:t>
            </w:r>
          </w:p>
        </w:tc>
        <w:tc>
          <w:tcPr>
            <w:tcW w:w="1032" w:type="dxa"/>
            <w:vAlign w:val="center"/>
            <w:hideMark/>
          </w:tcPr>
          <w:p w14:paraId="61C891A4"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378" w:type="dxa"/>
            <w:vAlign w:val="center"/>
            <w:hideMark/>
          </w:tcPr>
          <w:p w14:paraId="66882AD3"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353" w:type="dxa"/>
            <w:vAlign w:val="center"/>
            <w:hideMark/>
          </w:tcPr>
          <w:p w14:paraId="10DFD039" w14:textId="30884FC5"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1</w:t>
            </w:r>
          </w:p>
          <w:p w14:paraId="7543DFF0"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[only QPSK]</w:t>
            </w:r>
          </w:p>
        </w:tc>
        <w:tc>
          <w:tcPr>
            <w:tcW w:w="1099" w:type="dxa"/>
            <w:vAlign w:val="center"/>
            <w:hideMark/>
          </w:tcPr>
          <w:p w14:paraId="47F2F418" w14:textId="42F75D1D" w:rsidR="00D05F70" w:rsidRPr="005455B1" w:rsidRDefault="005455B1" w:rsidP="005455B1">
            <w:pPr>
              <w:pStyle w:val="xmsonormal"/>
              <w:spacing w:before="93"/>
              <w:jc w:val="center"/>
              <w:rPr>
                <w:rFonts w:ascii="Times New Roman" w:hAnsi="Times New Roman" w:cs="Times New Roman"/>
                <w:sz w:val="20"/>
                <w:szCs w:val="20"/>
                <w:lang w:val="fr-FR" w:eastAsia="fr-FR"/>
              </w:rPr>
            </w:pPr>
            <w:r>
              <w:rPr>
                <w:rFonts w:ascii="Times New Roman" w:hAnsi="Times New Roman" w:cs="Times New Roman"/>
                <w:sz w:val="20"/>
                <w:szCs w:val="20"/>
                <w:lang w:val="fr-FR" w:eastAsia="fr-FR"/>
              </w:rPr>
              <w:t>1/4</w:t>
            </w:r>
          </w:p>
        </w:tc>
      </w:tr>
      <w:tr w:rsidR="005455B1" w:rsidRPr="004A11EE" w14:paraId="39F7C55E" w14:textId="77777777" w:rsidTr="007E10B7">
        <w:trPr>
          <w:trHeight w:val="220"/>
          <w:jc w:val="center"/>
        </w:trPr>
        <w:tc>
          <w:tcPr>
            <w:tcW w:w="953" w:type="dxa"/>
            <w:vAlign w:val="center"/>
          </w:tcPr>
          <w:p w14:paraId="4BFB1A72" w14:textId="77777777" w:rsidR="005455B1" w:rsidRPr="005455B1" w:rsidRDefault="005455B1"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2</w:t>
            </w:r>
          </w:p>
        </w:tc>
        <w:tc>
          <w:tcPr>
            <w:tcW w:w="953" w:type="dxa"/>
            <w:vAlign w:val="center"/>
            <w:hideMark/>
          </w:tcPr>
          <w:p w14:paraId="7B325869"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551" w:type="dxa"/>
            <w:vAlign w:val="center"/>
            <w:hideMark/>
          </w:tcPr>
          <w:p w14:paraId="55769B8B"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032" w:type="dxa"/>
            <w:vAlign w:val="center"/>
            <w:hideMark/>
          </w:tcPr>
          <w:p w14:paraId="423A16D0"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378" w:type="dxa"/>
            <w:vAlign w:val="center"/>
            <w:hideMark/>
          </w:tcPr>
          <w:p w14:paraId="4989F1F1"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353" w:type="dxa"/>
            <w:vAlign w:val="center"/>
            <w:hideMark/>
          </w:tcPr>
          <w:p w14:paraId="4C139639"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099" w:type="dxa"/>
            <w:hideMark/>
          </w:tcPr>
          <w:p w14:paraId="2676E339" w14:textId="00B93B80"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3002E2">
              <w:rPr>
                <w:rFonts w:ascii="Times New Roman" w:hAnsi="Times New Roman" w:cs="Times New Roman"/>
                <w:sz w:val="20"/>
                <w:szCs w:val="20"/>
                <w:lang w:val="fr-FR" w:eastAsia="fr-FR"/>
              </w:rPr>
              <w:t>1/4</w:t>
            </w:r>
          </w:p>
        </w:tc>
      </w:tr>
      <w:tr w:rsidR="005455B1" w:rsidRPr="004A11EE" w14:paraId="68D28638" w14:textId="77777777" w:rsidTr="007E10B7">
        <w:trPr>
          <w:trHeight w:val="220"/>
          <w:jc w:val="center"/>
        </w:trPr>
        <w:tc>
          <w:tcPr>
            <w:tcW w:w="953" w:type="dxa"/>
            <w:vAlign w:val="center"/>
          </w:tcPr>
          <w:p w14:paraId="715B81CF" w14:textId="77777777" w:rsidR="005455B1" w:rsidRPr="005455B1" w:rsidRDefault="005455B1"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3</w:t>
            </w:r>
          </w:p>
        </w:tc>
        <w:tc>
          <w:tcPr>
            <w:tcW w:w="953" w:type="dxa"/>
            <w:vAlign w:val="center"/>
            <w:hideMark/>
          </w:tcPr>
          <w:p w14:paraId="5E8FDA28"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551" w:type="dxa"/>
            <w:vAlign w:val="center"/>
            <w:hideMark/>
          </w:tcPr>
          <w:p w14:paraId="4FB12964"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2</w:t>
            </w:r>
          </w:p>
        </w:tc>
        <w:tc>
          <w:tcPr>
            <w:tcW w:w="1032" w:type="dxa"/>
            <w:vAlign w:val="center"/>
            <w:hideMark/>
          </w:tcPr>
          <w:p w14:paraId="5A8DBAA4"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30</w:t>
            </w:r>
          </w:p>
        </w:tc>
        <w:tc>
          <w:tcPr>
            <w:tcW w:w="1378" w:type="dxa"/>
            <w:vAlign w:val="center"/>
            <w:hideMark/>
          </w:tcPr>
          <w:p w14:paraId="0A3E1334"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353" w:type="dxa"/>
            <w:vAlign w:val="center"/>
            <w:hideMark/>
          </w:tcPr>
          <w:p w14:paraId="0A735B68"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w:t>
            </w:r>
          </w:p>
        </w:tc>
        <w:tc>
          <w:tcPr>
            <w:tcW w:w="1099" w:type="dxa"/>
            <w:hideMark/>
          </w:tcPr>
          <w:p w14:paraId="06864A06" w14:textId="0653EDB5"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3002E2">
              <w:rPr>
                <w:rFonts w:ascii="Times New Roman" w:hAnsi="Times New Roman" w:cs="Times New Roman"/>
                <w:sz w:val="20"/>
                <w:szCs w:val="20"/>
                <w:lang w:val="fr-FR" w:eastAsia="fr-FR"/>
              </w:rPr>
              <w:t>1/4</w:t>
            </w:r>
          </w:p>
        </w:tc>
      </w:tr>
      <w:tr w:rsidR="005455B1" w:rsidRPr="004A11EE" w14:paraId="4ABDC089" w14:textId="77777777" w:rsidTr="007E10B7">
        <w:trPr>
          <w:trHeight w:val="220"/>
          <w:jc w:val="center"/>
        </w:trPr>
        <w:tc>
          <w:tcPr>
            <w:tcW w:w="953" w:type="dxa"/>
            <w:vAlign w:val="center"/>
          </w:tcPr>
          <w:p w14:paraId="6F73FB77" w14:textId="77777777" w:rsidR="005455B1" w:rsidRPr="005455B1" w:rsidRDefault="005455B1"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4</w:t>
            </w:r>
          </w:p>
        </w:tc>
        <w:tc>
          <w:tcPr>
            <w:tcW w:w="953" w:type="dxa"/>
            <w:vAlign w:val="center"/>
          </w:tcPr>
          <w:p w14:paraId="4F82FE5D"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551" w:type="dxa"/>
            <w:vAlign w:val="center"/>
          </w:tcPr>
          <w:p w14:paraId="6F65129E"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032" w:type="dxa"/>
            <w:vAlign w:val="center"/>
          </w:tcPr>
          <w:p w14:paraId="138839A0"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30</w:t>
            </w:r>
          </w:p>
        </w:tc>
        <w:tc>
          <w:tcPr>
            <w:tcW w:w="1378" w:type="dxa"/>
            <w:vAlign w:val="center"/>
          </w:tcPr>
          <w:p w14:paraId="6C177D46"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353" w:type="dxa"/>
            <w:vAlign w:val="center"/>
          </w:tcPr>
          <w:p w14:paraId="5C2DD193"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099" w:type="dxa"/>
          </w:tcPr>
          <w:p w14:paraId="64CDEB03" w14:textId="22308B72"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3002E2">
              <w:rPr>
                <w:rFonts w:ascii="Times New Roman" w:hAnsi="Times New Roman" w:cs="Times New Roman"/>
                <w:sz w:val="20"/>
                <w:szCs w:val="20"/>
                <w:lang w:val="fr-FR" w:eastAsia="fr-FR"/>
              </w:rPr>
              <w:t>1/4</w:t>
            </w:r>
          </w:p>
        </w:tc>
      </w:tr>
      <w:tr w:rsidR="00D05F70" w:rsidRPr="004A11EE" w14:paraId="428E66E0" w14:textId="77777777" w:rsidTr="005455B1">
        <w:trPr>
          <w:trHeight w:val="220"/>
          <w:jc w:val="center"/>
        </w:trPr>
        <w:tc>
          <w:tcPr>
            <w:tcW w:w="953" w:type="dxa"/>
            <w:vAlign w:val="center"/>
          </w:tcPr>
          <w:p w14:paraId="6C901791" w14:textId="77777777" w:rsidR="00D05F70" w:rsidRPr="005455B1" w:rsidRDefault="00D05F70"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5</w:t>
            </w:r>
          </w:p>
        </w:tc>
        <w:tc>
          <w:tcPr>
            <w:tcW w:w="953" w:type="dxa"/>
            <w:vAlign w:val="center"/>
          </w:tcPr>
          <w:p w14:paraId="6EE500A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551" w:type="dxa"/>
            <w:vAlign w:val="center"/>
          </w:tcPr>
          <w:p w14:paraId="6257AF02"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w:t>
            </w:r>
          </w:p>
        </w:tc>
        <w:tc>
          <w:tcPr>
            <w:tcW w:w="1032" w:type="dxa"/>
            <w:vAlign w:val="center"/>
          </w:tcPr>
          <w:p w14:paraId="58E1C88D"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w:t>
            </w:r>
          </w:p>
        </w:tc>
        <w:tc>
          <w:tcPr>
            <w:tcW w:w="1378" w:type="dxa"/>
            <w:vAlign w:val="center"/>
          </w:tcPr>
          <w:p w14:paraId="68D7A77B"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353" w:type="dxa"/>
            <w:vAlign w:val="center"/>
          </w:tcPr>
          <w:p w14:paraId="344106DB"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5</w:t>
            </w:r>
          </w:p>
        </w:tc>
        <w:tc>
          <w:tcPr>
            <w:tcW w:w="1099" w:type="dxa"/>
            <w:vAlign w:val="center"/>
          </w:tcPr>
          <w:p w14:paraId="3DB0CBF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1/3]</w:t>
            </w:r>
          </w:p>
        </w:tc>
      </w:tr>
      <w:tr w:rsidR="00D05F70" w14:paraId="1E2B1508" w14:textId="77777777" w:rsidTr="005455B1">
        <w:trPr>
          <w:trHeight w:val="220"/>
          <w:jc w:val="center"/>
        </w:trPr>
        <w:tc>
          <w:tcPr>
            <w:tcW w:w="953" w:type="dxa"/>
            <w:vAlign w:val="center"/>
          </w:tcPr>
          <w:p w14:paraId="6C0D8187" w14:textId="77777777" w:rsidR="00D05F70" w:rsidRPr="005455B1" w:rsidRDefault="00D05F70"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6</w:t>
            </w:r>
          </w:p>
        </w:tc>
        <w:tc>
          <w:tcPr>
            <w:tcW w:w="953" w:type="dxa"/>
            <w:vAlign w:val="center"/>
          </w:tcPr>
          <w:p w14:paraId="5D2F164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[36</w:t>
            </w:r>
          </w:p>
        </w:tc>
        <w:tc>
          <w:tcPr>
            <w:tcW w:w="1551" w:type="dxa"/>
            <w:vAlign w:val="center"/>
          </w:tcPr>
          <w:p w14:paraId="72773DFE"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7</w:t>
            </w:r>
          </w:p>
        </w:tc>
        <w:tc>
          <w:tcPr>
            <w:tcW w:w="1032" w:type="dxa"/>
            <w:vAlign w:val="center"/>
          </w:tcPr>
          <w:p w14:paraId="6392380D"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32</w:t>
            </w:r>
          </w:p>
        </w:tc>
        <w:tc>
          <w:tcPr>
            <w:tcW w:w="1378" w:type="dxa"/>
            <w:vAlign w:val="center"/>
          </w:tcPr>
          <w:p w14:paraId="7B7D3172"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36</w:t>
            </w:r>
          </w:p>
        </w:tc>
        <w:tc>
          <w:tcPr>
            <w:tcW w:w="1353" w:type="dxa"/>
            <w:vAlign w:val="center"/>
          </w:tcPr>
          <w:p w14:paraId="0CDEE3BE"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099" w:type="dxa"/>
            <w:vAlign w:val="center"/>
          </w:tcPr>
          <w:p w14:paraId="5DD3B747"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1/9]</w:t>
            </w:r>
          </w:p>
        </w:tc>
      </w:tr>
    </w:tbl>
    <w:p w14:paraId="482CD8BE" w14:textId="0D81CFE6" w:rsidR="00755B4B" w:rsidRDefault="00213C3C" w:rsidP="00213C3C">
      <w:pPr>
        <w:tabs>
          <w:tab w:val="left" w:pos="1170"/>
        </w:tabs>
        <w:jc w:val="both"/>
        <w:rPr>
          <w:lang w:eastAsia="en-US"/>
        </w:rPr>
      </w:pPr>
      <w:r>
        <w:rPr>
          <w:lang w:eastAsia="en-US"/>
        </w:rPr>
        <w:t xml:space="preserve">  </w:t>
      </w:r>
    </w:p>
    <w:p w14:paraId="7B83C9F6" w14:textId="0E393F0D" w:rsidR="00755B4B" w:rsidRDefault="004535D0" w:rsidP="004535D0">
      <w:pPr>
        <w:jc w:val="center"/>
        <w:rPr>
          <w:lang w:eastAsia="en-US"/>
        </w:rPr>
      </w:pPr>
      <w:r w:rsidRPr="002D08FD">
        <w:rPr>
          <w:noProof/>
          <w:lang w:val="en-US"/>
        </w:rPr>
        <w:drawing>
          <wp:inline distT="0" distB="0" distL="0" distR="0" wp14:anchorId="2CFB74D9" wp14:editId="5F177C94">
            <wp:extent cx="2482850" cy="1938512"/>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93126" cy="1946535"/>
                    </a:xfrm>
                    <a:prstGeom prst="rect">
                      <a:avLst/>
                    </a:prstGeom>
                  </pic:spPr>
                </pic:pic>
              </a:graphicData>
            </a:graphic>
          </wp:inline>
        </w:drawing>
      </w:r>
      <w:r w:rsidRPr="002D08FD">
        <w:rPr>
          <w:noProof/>
          <w:lang w:val="en-US"/>
        </w:rPr>
        <w:drawing>
          <wp:inline distT="0" distB="0" distL="0" distR="0" wp14:anchorId="453484ED" wp14:editId="7C431948">
            <wp:extent cx="2526770" cy="1925955"/>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6928" cy="1956564"/>
                    </a:xfrm>
                    <a:prstGeom prst="rect">
                      <a:avLst/>
                    </a:prstGeom>
                  </pic:spPr>
                </pic:pic>
              </a:graphicData>
            </a:graphic>
          </wp:inline>
        </w:drawing>
      </w:r>
    </w:p>
    <w:p w14:paraId="17BABD15" w14:textId="5852CF4F" w:rsidR="009F4627" w:rsidRPr="009F4627" w:rsidRDefault="009F4627" w:rsidP="009F4627">
      <w:pPr>
        <w:jc w:val="both"/>
        <w:rPr>
          <w:b/>
          <w:lang w:eastAsia="en-US"/>
        </w:rPr>
      </w:pPr>
      <w:r>
        <w:rPr>
          <w:b/>
          <w:sz w:val="22"/>
          <w:lang w:eastAsia="en-US"/>
        </w:rPr>
        <w:t xml:space="preserve">                        </w:t>
      </w:r>
      <w:r w:rsidRPr="009F4627">
        <w:rPr>
          <w:b/>
          <w:sz w:val="22"/>
          <w:lang w:eastAsia="en-US"/>
        </w:rPr>
        <w:t xml:space="preserve">Case 1/2 </w:t>
      </w:r>
      <w:r>
        <w:rPr>
          <w:b/>
          <w:sz w:val="22"/>
          <w:lang w:eastAsia="en-US"/>
        </w:rPr>
        <w:t xml:space="preserve">                          </w:t>
      </w:r>
      <w:r w:rsidRPr="009F4627">
        <w:rPr>
          <w:b/>
          <w:sz w:val="22"/>
          <w:lang w:eastAsia="en-US"/>
        </w:rPr>
        <w:t xml:space="preserve"> Case 3/4</w:t>
      </w:r>
    </w:p>
    <w:p w14:paraId="352DD9D1" w14:textId="23FE6F0D" w:rsidR="004535D0" w:rsidRDefault="004535D0" w:rsidP="004535D0">
      <w:pPr>
        <w:jc w:val="center"/>
        <w:rPr>
          <w:lang w:eastAsia="en-US"/>
        </w:rPr>
      </w:pPr>
      <w:r w:rsidRPr="002D08FD">
        <w:rPr>
          <w:noProof/>
          <w:lang w:val="en-US"/>
        </w:rPr>
        <w:drawing>
          <wp:inline distT="0" distB="0" distL="0" distR="0" wp14:anchorId="31FB4FB5" wp14:editId="2ECF7F8B">
            <wp:extent cx="2559145" cy="191365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94448" cy="1940058"/>
                    </a:xfrm>
                    <a:prstGeom prst="rect">
                      <a:avLst/>
                    </a:prstGeom>
                  </pic:spPr>
                </pic:pic>
              </a:graphicData>
            </a:graphic>
          </wp:inline>
        </w:drawing>
      </w:r>
      <w:r w:rsidRPr="002D08FD">
        <w:rPr>
          <w:noProof/>
          <w:lang w:val="en-US"/>
        </w:rPr>
        <w:drawing>
          <wp:inline distT="0" distB="0" distL="0" distR="0" wp14:anchorId="72F702F0" wp14:editId="4D22D9EF">
            <wp:extent cx="2571750" cy="1916892"/>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4982" cy="1949116"/>
                    </a:xfrm>
                    <a:prstGeom prst="rect">
                      <a:avLst/>
                    </a:prstGeom>
                  </pic:spPr>
                </pic:pic>
              </a:graphicData>
            </a:graphic>
          </wp:inline>
        </w:drawing>
      </w:r>
    </w:p>
    <w:p w14:paraId="09E7D383" w14:textId="2E54D108" w:rsidR="00755B4B" w:rsidRPr="00755B4B" w:rsidRDefault="009F4627" w:rsidP="00755B4B">
      <w:pPr>
        <w:rPr>
          <w:lang w:eastAsia="en-US"/>
        </w:rPr>
      </w:pPr>
      <w:r>
        <w:rPr>
          <w:b/>
          <w:sz w:val="22"/>
          <w:lang w:eastAsia="en-US"/>
        </w:rPr>
        <w:t xml:space="preserve">                        Case 5</w:t>
      </w:r>
      <w:r w:rsidRPr="009F4627">
        <w:rPr>
          <w:b/>
          <w:sz w:val="22"/>
          <w:lang w:eastAsia="en-US"/>
        </w:rPr>
        <w:t xml:space="preserve"> </w:t>
      </w:r>
      <w:r>
        <w:rPr>
          <w:b/>
          <w:sz w:val="22"/>
          <w:lang w:eastAsia="en-US"/>
        </w:rPr>
        <w:t xml:space="preserve">                             Case 6</w:t>
      </w:r>
    </w:p>
    <w:p w14:paraId="7ED50E46" w14:textId="4FA4985B" w:rsidR="005C06C1" w:rsidRPr="00910FE0" w:rsidRDefault="005C06C1" w:rsidP="00910FE0">
      <w:pPr>
        <w:spacing w:before="72"/>
        <w:jc w:val="center"/>
        <w:rPr>
          <w:b/>
        </w:rPr>
      </w:pPr>
      <w:r w:rsidRPr="00910FE0">
        <w:rPr>
          <w:b/>
        </w:rPr>
        <w:t xml:space="preserve">Figure 1. </w:t>
      </w:r>
      <w:r w:rsidR="0041183D" w:rsidRPr="00910FE0">
        <w:rPr>
          <w:b/>
        </w:rPr>
        <w:t>MPR performance</w:t>
      </w:r>
      <w:r w:rsidR="004052A0" w:rsidRPr="00910FE0">
        <w:rPr>
          <w:b/>
        </w:rPr>
        <w:t xml:space="preserve"> </w:t>
      </w:r>
      <w:r w:rsidRPr="00910FE0">
        <w:rPr>
          <w:b/>
        </w:rPr>
        <w:t xml:space="preserve">for </w:t>
      </w:r>
      <w:r w:rsidR="004052A0" w:rsidRPr="00910FE0">
        <w:rPr>
          <w:b/>
        </w:rPr>
        <w:t>different cases that listed in table 4</w:t>
      </w:r>
    </w:p>
    <w:p w14:paraId="1F28678A" w14:textId="06F97FC6" w:rsidR="004052A0" w:rsidRDefault="003941EF" w:rsidP="005A29C1">
      <w:pPr>
        <w:jc w:val="both"/>
      </w:pPr>
      <w:r>
        <w:t>Judging from the above figure, the power boost gain from FDSS is relatively small while spectrum extension can introduce considerable gain on top of it.</w:t>
      </w:r>
    </w:p>
    <w:p w14:paraId="1C5951B1" w14:textId="455DF8AF" w:rsidR="0041183D" w:rsidRDefault="005A29C1" w:rsidP="005A29C1">
      <w:pPr>
        <w:jc w:val="center"/>
      </w:pPr>
      <w:r w:rsidRPr="00833AD9">
        <w:rPr>
          <w:noProof/>
          <w:lang w:val="en-US"/>
        </w:rPr>
        <w:lastRenderedPageBreak/>
        <w:drawing>
          <wp:inline distT="0" distB="0" distL="0" distR="0" wp14:anchorId="2FC5F534" wp14:editId="25A2EC4E">
            <wp:extent cx="2418085" cy="1799153"/>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27412" cy="1806093"/>
                    </a:xfrm>
                    <a:prstGeom prst="rect">
                      <a:avLst/>
                    </a:prstGeom>
                  </pic:spPr>
                </pic:pic>
              </a:graphicData>
            </a:graphic>
          </wp:inline>
        </w:drawing>
      </w:r>
      <w:r w:rsidRPr="005933EA">
        <w:rPr>
          <w:noProof/>
          <w:lang w:val="en-US"/>
        </w:rPr>
        <w:drawing>
          <wp:inline distT="0" distB="0" distL="0" distR="0" wp14:anchorId="411A1B61" wp14:editId="148C51B9">
            <wp:extent cx="2372562" cy="1789276"/>
            <wp:effectExtent l="0" t="0" r="889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88290" cy="1801137"/>
                    </a:xfrm>
                    <a:prstGeom prst="rect">
                      <a:avLst/>
                    </a:prstGeom>
                  </pic:spPr>
                </pic:pic>
              </a:graphicData>
            </a:graphic>
          </wp:inline>
        </w:drawing>
      </w:r>
    </w:p>
    <w:p w14:paraId="299FA654" w14:textId="4ABD721B" w:rsidR="0041183D" w:rsidRDefault="005A29C1" w:rsidP="005A29C1">
      <w:pPr>
        <w:jc w:val="both"/>
      </w:pPr>
      <w:r>
        <w:rPr>
          <w:b/>
          <w:sz w:val="22"/>
          <w:lang w:eastAsia="en-US"/>
        </w:rPr>
        <w:t xml:space="preserve">                         Case 1</w:t>
      </w:r>
      <w:r w:rsidRPr="009F4627">
        <w:rPr>
          <w:b/>
          <w:sz w:val="22"/>
          <w:lang w:eastAsia="en-US"/>
        </w:rPr>
        <w:t xml:space="preserve"> </w:t>
      </w:r>
      <w:r>
        <w:rPr>
          <w:b/>
          <w:sz w:val="22"/>
          <w:lang w:eastAsia="en-US"/>
        </w:rPr>
        <w:t xml:space="preserve">                            Case 2</w:t>
      </w:r>
    </w:p>
    <w:p w14:paraId="6627D962" w14:textId="790F3191" w:rsidR="005A29C1" w:rsidRDefault="00A02023" w:rsidP="00A02023">
      <w:pPr>
        <w:jc w:val="center"/>
      </w:pPr>
      <w:r w:rsidRPr="003D78C9">
        <w:rPr>
          <w:noProof/>
          <w:lang w:val="en-US"/>
        </w:rPr>
        <w:drawing>
          <wp:inline distT="0" distB="0" distL="0" distR="0" wp14:anchorId="17B7FEC5" wp14:editId="33F4BC30">
            <wp:extent cx="2386965" cy="1790080"/>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12494" cy="1809225"/>
                    </a:xfrm>
                    <a:prstGeom prst="rect">
                      <a:avLst/>
                    </a:prstGeom>
                  </pic:spPr>
                </pic:pic>
              </a:graphicData>
            </a:graphic>
          </wp:inline>
        </w:drawing>
      </w:r>
      <w:r w:rsidRPr="003D78C9">
        <w:rPr>
          <w:noProof/>
          <w:lang w:val="en-US"/>
        </w:rPr>
        <w:drawing>
          <wp:inline distT="0" distB="0" distL="0" distR="0" wp14:anchorId="56ED7F43" wp14:editId="71038A3F">
            <wp:extent cx="2452433" cy="1814966"/>
            <wp:effectExtent l="0" t="0" r="508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76049" cy="1832443"/>
                    </a:xfrm>
                    <a:prstGeom prst="rect">
                      <a:avLst/>
                    </a:prstGeom>
                  </pic:spPr>
                </pic:pic>
              </a:graphicData>
            </a:graphic>
          </wp:inline>
        </w:drawing>
      </w:r>
    </w:p>
    <w:p w14:paraId="5342AC6B" w14:textId="7B379073" w:rsidR="00910FE0" w:rsidRDefault="00910FE0" w:rsidP="00910FE0">
      <w:pPr>
        <w:jc w:val="both"/>
      </w:pPr>
      <w:r>
        <w:rPr>
          <w:b/>
          <w:sz w:val="22"/>
          <w:lang w:eastAsia="en-US"/>
        </w:rPr>
        <w:t xml:space="preserve">                         Case 3</w:t>
      </w:r>
      <w:r w:rsidRPr="009F4627">
        <w:rPr>
          <w:b/>
          <w:sz w:val="22"/>
          <w:lang w:eastAsia="en-US"/>
        </w:rPr>
        <w:t xml:space="preserve"> </w:t>
      </w:r>
      <w:r>
        <w:rPr>
          <w:b/>
          <w:sz w:val="22"/>
          <w:lang w:eastAsia="en-US"/>
        </w:rPr>
        <w:t xml:space="preserve">                            Case 4</w:t>
      </w:r>
    </w:p>
    <w:p w14:paraId="21CB60C4" w14:textId="4CD95980" w:rsidR="005A29C1" w:rsidRDefault="00C0296E" w:rsidP="00C0296E">
      <w:pPr>
        <w:jc w:val="center"/>
      </w:pPr>
      <w:r w:rsidRPr="003D78C9">
        <w:rPr>
          <w:noProof/>
          <w:lang w:val="en-US"/>
        </w:rPr>
        <w:drawing>
          <wp:inline distT="0" distB="0" distL="0" distR="0" wp14:anchorId="2D65A218" wp14:editId="04BC043C">
            <wp:extent cx="2533232" cy="1895501"/>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63891" cy="1918441"/>
                    </a:xfrm>
                    <a:prstGeom prst="rect">
                      <a:avLst/>
                    </a:prstGeom>
                  </pic:spPr>
                </pic:pic>
              </a:graphicData>
            </a:graphic>
          </wp:inline>
        </w:drawing>
      </w:r>
      <w:r w:rsidRPr="003D78C9">
        <w:rPr>
          <w:noProof/>
          <w:lang w:val="en-US"/>
        </w:rPr>
        <w:drawing>
          <wp:inline distT="0" distB="0" distL="0" distR="0" wp14:anchorId="494B69DA" wp14:editId="42070F30">
            <wp:extent cx="2506473" cy="1862806"/>
            <wp:effectExtent l="0" t="0" r="8255" b="444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39391" cy="1887271"/>
                    </a:xfrm>
                    <a:prstGeom prst="rect">
                      <a:avLst/>
                    </a:prstGeom>
                  </pic:spPr>
                </pic:pic>
              </a:graphicData>
            </a:graphic>
          </wp:inline>
        </w:drawing>
      </w:r>
    </w:p>
    <w:p w14:paraId="039A974B" w14:textId="1C90FF55" w:rsidR="00A02023" w:rsidRDefault="00A02023" w:rsidP="00A02023">
      <w:pPr>
        <w:jc w:val="both"/>
      </w:pPr>
      <w:r>
        <w:rPr>
          <w:b/>
          <w:sz w:val="22"/>
          <w:lang w:eastAsia="en-US"/>
        </w:rPr>
        <w:t xml:space="preserve">                         Case 5</w:t>
      </w:r>
      <w:r w:rsidRPr="009F4627">
        <w:rPr>
          <w:b/>
          <w:sz w:val="22"/>
          <w:lang w:eastAsia="en-US"/>
        </w:rPr>
        <w:t xml:space="preserve"> </w:t>
      </w:r>
      <w:r>
        <w:rPr>
          <w:b/>
          <w:sz w:val="22"/>
          <w:lang w:eastAsia="en-US"/>
        </w:rPr>
        <w:t xml:space="preserve">                            Case 6</w:t>
      </w:r>
    </w:p>
    <w:p w14:paraId="061F303F" w14:textId="0D645BFA" w:rsidR="00C0296E" w:rsidRPr="00910FE0" w:rsidRDefault="00C0296E" w:rsidP="00C0296E">
      <w:pPr>
        <w:spacing w:before="72"/>
        <w:jc w:val="center"/>
        <w:rPr>
          <w:b/>
        </w:rPr>
      </w:pPr>
      <w:r w:rsidRPr="00910FE0">
        <w:rPr>
          <w:b/>
        </w:rPr>
        <w:t xml:space="preserve">Figure </w:t>
      </w:r>
      <w:r w:rsidR="008C4225">
        <w:rPr>
          <w:b/>
        </w:rPr>
        <w:t>2</w:t>
      </w:r>
      <w:r w:rsidRPr="00910FE0">
        <w:rPr>
          <w:b/>
        </w:rPr>
        <w:t xml:space="preserve">. </w:t>
      </w:r>
      <w:r>
        <w:rPr>
          <w:b/>
        </w:rPr>
        <w:t>Total gain</w:t>
      </w:r>
      <w:r w:rsidRPr="00910FE0">
        <w:rPr>
          <w:b/>
        </w:rPr>
        <w:t xml:space="preserve"> for different cases that listed in table 4</w:t>
      </w:r>
    </w:p>
    <w:p w14:paraId="00EFC113" w14:textId="77777777" w:rsidR="00AC39E2" w:rsidRDefault="003927C4" w:rsidP="00AC39E2">
      <w:pPr>
        <w:jc w:val="both"/>
      </w:pPr>
      <w:r>
        <w:t>As depicted in Figure 2,</w:t>
      </w:r>
      <w:r w:rsidR="00C06C77" w:rsidRPr="00C06C77">
        <w:t xml:space="preserve"> </w:t>
      </w:r>
      <w:r w:rsidR="00C06C77">
        <w:t xml:space="preserve">the total gain of FDSS with spectrum extension under QPSK could be varied for different MCS. For example, </w:t>
      </w:r>
      <w:r w:rsidR="00AC39E2">
        <w:t xml:space="preserve">such gain for inner region can be 0.8dB~2dB. </w:t>
      </w:r>
      <w:r w:rsidRPr="00AC39E2">
        <w:rPr>
          <w:u w:val="single"/>
        </w:rPr>
        <w:t xml:space="preserve">Note that the BLER loss that used </w:t>
      </w:r>
      <w:r w:rsidR="004477B4" w:rsidRPr="00AC39E2">
        <w:rPr>
          <w:u w:val="single"/>
        </w:rPr>
        <w:t>in Figure 2</w:t>
      </w:r>
      <w:r w:rsidRPr="00AC39E2">
        <w:rPr>
          <w:u w:val="single"/>
        </w:rPr>
        <w:t xml:space="preserve"> wa</w:t>
      </w:r>
      <w:r w:rsidR="00AC39E2" w:rsidRPr="00AC39E2">
        <w:rPr>
          <w:u w:val="single"/>
        </w:rPr>
        <w:t>s derived based on MRC receiver</w:t>
      </w:r>
      <w:r w:rsidR="00AC39E2">
        <w:t>, so we think ~1dB total gain can be considered for inner region.</w:t>
      </w:r>
    </w:p>
    <w:p w14:paraId="17C6F6E6" w14:textId="0714BA4C" w:rsidR="008F08BF" w:rsidRDefault="008F08BF" w:rsidP="008F08BF">
      <w:pPr>
        <w:jc w:val="both"/>
        <w:rPr>
          <w:b/>
          <w:i/>
        </w:rPr>
      </w:pPr>
      <w:r>
        <w:rPr>
          <w:b/>
          <w:i/>
        </w:rPr>
        <w:t>Observation</w:t>
      </w:r>
      <w:r w:rsidRPr="0056168B">
        <w:rPr>
          <w:b/>
          <w:i/>
        </w:rPr>
        <w:t xml:space="preserve"> </w:t>
      </w:r>
      <w:r>
        <w:rPr>
          <w:b/>
          <w:i/>
        </w:rPr>
        <w:t>2</w:t>
      </w:r>
      <w:r w:rsidRPr="0056168B">
        <w:rPr>
          <w:b/>
          <w:i/>
        </w:rPr>
        <w:t>:</w:t>
      </w:r>
      <w:r>
        <w:rPr>
          <w:b/>
          <w:i/>
        </w:rPr>
        <w:t xml:space="preserve"> Based on the simulation results towards the cases listed in Table 4, the total gain i.e., power boost gain minus BLER loss, can be around 1dB for inner region for </w:t>
      </w:r>
      <w:r w:rsidRPr="008F08BF">
        <w:rPr>
          <w:b/>
          <w:i/>
        </w:rPr>
        <w:t>QPSK under FDSS w</w:t>
      </w:r>
      <w:r>
        <w:rPr>
          <w:b/>
          <w:i/>
        </w:rPr>
        <w:t>ith spectrum extension, while the total gain from FDSS without spectrum extension is negligible.</w:t>
      </w:r>
    </w:p>
    <w:p w14:paraId="424C4908" w14:textId="2CE6E87E" w:rsidR="00A02023" w:rsidRDefault="008F08BF" w:rsidP="004052A0">
      <w:pPr>
        <w:rPr>
          <w:b/>
          <w:sz w:val="24"/>
          <w:u w:val="single"/>
          <w:lang w:eastAsia="en-US"/>
        </w:rPr>
      </w:pPr>
      <w:r>
        <w:rPr>
          <w:b/>
          <w:sz w:val="24"/>
          <w:u w:val="single"/>
          <w:lang w:eastAsia="en-US"/>
        </w:rPr>
        <w:t>Spectrum extension ratio</w:t>
      </w:r>
    </w:p>
    <w:p w14:paraId="35866F64" w14:textId="40522DF9" w:rsidR="003800A6" w:rsidRDefault="003800A6" w:rsidP="003800A6">
      <w:pPr>
        <w:spacing w:before="72"/>
        <w:jc w:val="center"/>
      </w:pPr>
      <w:r w:rsidRPr="00ED48C8">
        <w:rPr>
          <w:noProof/>
          <w:lang w:val="en-US"/>
        </w:rPr>
        <w:lastRenderedPageBreak/>
        <w:drawing>
          <wp:inline distT="0" distB="0" distL="0" distR="0" wp14:anchorId="29ED90E7" wp14:editId="19DCBCF9">
            <wp:extent cx="1817535" cy="143238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13" cy="1448758"/>
                    </a:xfrm>
                    <a:prstGeom prst="rect">
                      <a:avLst/>
                    </a:prstGeom>
                  </pic:spPr>
                </pic:pic>
              </a:graphicData>
            </a:graphic>
          </wp:inline>
        </w:drawing>
      </w:r>
      <w:r w:rsidRPr="00ED48C8">
        <w:rPr>
          <w:noProof/>
          <w:lang w:val="en-US"/>
        </w:rPr>
        <w:drawing>
          <wp:inline distT="0" distB="0" distL="0" distR="0" wp14:anchorId="444A4D46" wp14:editId="71834A16">
            <wp:extent cx="1881655" cy="1423101"/>
            <wp:effectExtent l="0" t="0" r="4445"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23089" cy="1454438"/>
                    </a:xfrm>
                    <a:prstGeom prst="rect">
                      <a:avLst/>
                    </a:prstGeom>
                  </pic:spPr>
                </pic:pic>
              </a:graphicData>
            </a:graphic>
          </wp:inline>
        </w:drawing>
      </w:r>
      <w:r w:rsidRPr="00ED48C8">
        <w:rPr>
          <w:noProof/>
          <w:lang w:val="en-US"/>
        </w:rPr>
        <w:drawing>
          <wp:inline distT="0" distB="0" distL="0" distR="0" wp14:anchorId="54BE1372" wp14:editId="1AFCD428">
            <wp:extent cx="1913369" cy="1448739"/>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55704" cy="1480794"/>
                    </a:xfrm>
                    <a:prstGeom prst="rect">
                      <a:avLst/>
                    </a:prstGeom>
                  </pic:spPr>
                </pic:pic>
              </a:graphicData>
            </a:graphic>
          </wp:inline>
        </w:drawing>
      </w:r>
    </w:p>
    <w:p w14:paraId="5824EC1B" w14:textId="2BBA6D45" w:rsidR="008F08BF" w:rsidRPr="003800A6" w:rsidRDefault="003800A6" w:rsidP="003800A6">
      <w:pPr>
        <w:spacing w:before="72"/>
        <w:jc w:val="center"/>
        <w:rPr>
          <w:b/>
        </w:rPr>
      </w:pPr>
      <w:r>
        <w:t xml:space="preserve"> </w:t>
      </w:r>
      <w:r w:rsidRPr="003800A6">
        <w:rPr>
          <w:b/>
          <w:sz w:val="22"/>
        </w:rPr>
        <w:t>(a)</w:t>
      </w:r>
      <w:r w:rsidRPr="003800A6">
        <w:rPr>
          <w:rFonts w:hint="eastAsia"/>
          <w:b/>
          <w:sz w:val="22"/>
        </w:rPr>
        <w:t xml:space="preserve"> MCS=0</w:t>
      </w:r>
      <w:r w:rsidRPr="003800A6">
        <w:rPr>
          <w:b/>
          <w:sz w:val="22"/>
        </w:rPr>
        <w:t xml:space="preserve">                    (b) </w:t>
      </w:r>
      <w:r w:rsidRPr="003800A6">
        <w:rPr>
          <w:rFonts w:hint="eastAsia"/>
          <w:b/>
          <w:sz w:val="22"/>
        </w:rPr>
        <w:t>MCS=4</w:t>
      </w:r>
      <w:r w:rsidRPr="003800A6">
        <w:rPr>
          <w:b/>
          <w:sz w:val="22"/>
        </w:rPr>
        <w:t xml:space="preserve">                    (c) </w:t>
      </w:r>
      <w:r w:rsidRPr="003800A6">
        <w:rPr>
          <w:rFonts w:hint="eastAsia"/>
          <w:b/>
          <w:sz w:val="22"/>
        </w:rPr>
        <w:t>MCS=</w:t>
      </w:r>
      <w:r w:rsidRPr="003800A6">
        <w:rPr>
          <w:b/>
          <w:sz w:val="22"/>
        </w:rPr>
        <w:t>7</w:t>
      </w:r>
    </w:p>
    <w:p w14:paraId="2EC7E586" w14:textId="3627F156" w:rsidR="008F08BF" w:rsidRPr="00910FE0" w:rsidRDefault="008F08BF" w:rsidP="008F08BF">
      <w:pPr>
        <w:spacing w:before="72"/>
        <w:jc w:val="center"/>
        <w:rPr>
          <w:b/>
        </w:rPr>
      </w:pPr>
      <w:r w:rsidRPr="00910FE0">
        <w:rPr>
          <w:b/>
        </w:rPr>
        <w:t xml:space="preserve">Figure </w:t>
      </w:r>
      <w:r>
        <w:rPr>
          <w:b/>
        </w:rPr>
        <w:t>3</w:t>
      </w:r>
      <w:r w:rsidRPr="00910FE0">
        <w:rPr>
          <w:b/>
        </w:rPr>
        <w:t xml:space="preserve">. </w:t>
      </w:r>
      <w:r>
        <w:rPr>
          <w:b/>
        </w:rPr>
        <w:t>An example on the total gain comparison between spectrum extension ratio 1/9 and 1/4</w:t>
      </w:r>
    </w:p>
    <w:p w14:paraId="08D1A615" w14:textId="169309D8" w:rsidR="001C2072" w:rsidRDefault="003800A6" w:rsidP="001C2072">
      <w:pPr>
        <w:spacing w:before="72"/>
        <w:jc w:val="both"/>
      </w:pPr>
      <w:r>
        <w:t xml:space="preserve">In Figure 3, we </w:t>
      </w:r>
      <w:r w:rsidR="001C2072">
        <w:t>present the comparison of total</w:t>
      </w:r>
      <w:r>
        <w:t xml:space="preserve"> gain </w:t>
      </w:r>
      <w:r w:rsidR="001C2072">
        <w:t xml:space="preserve">between different spectrum extension ratios. If we observe the gain for edge/outer region, </w:t>
      </w:r>
      <w:r w:rsidR="001C2072">
        <w:rPr>
          <w:iCs/>
        </w:rPr>
        <w:t xml:space="preserve">the </w:t>
      </w:r>
      <w:r w:rsidR="001C2072">
        <w:t xml:space="preserve">extension ratio with better total gain is 1/4, while </w:t>
      </w:r>
      <w:r w:rsidR="001C2072">
        <w:rPr>
          <w:iCs/>
        </w:rPr>
        <w:t xml:space="preserve">for inner region, the better </w:t>
      </w:r>
      <w:r w:rsidR="001C2072">
        <w:t xml:space="preserve">extension ratio for lower MCS order is 1/9. </w:t>
      </w:r>
    </w:p>
    <w:p w14:paraId="4591C878" w14:textId="21547335" w:rsidR="001C2072" w:rsidRPr="001C2072" w:rsidRDefault="001C2072" w:rsidP="001C2072">
      <w:pPr>
        <w:spacing w:before="72"/>
        <w:rPr>
          <w:b/>
          <w:i/>
        </w:rPr>
      </w:pPr>
      <w:r w:rsidRPr="001C2072">
        <w:rPr>
          <w:b/>
          <w:i/>
        </w:rPr>
        <w:t xml:space="preserve">Observation </w:t>
      </w:r>
      <w:r w:rsidR="00851A88">
        <w:rPr>
          <w:b/>
          <w:i/>
        </w:rPr>
        <w:t>3</w:t>
      </w:r>
      <w:r w:rsidRPr="001C2072">
        <w:rPr>
          <w:b/>
          <w:i/>
        </w:rPr>
        <w:t>: The best extension ratio for different combination of MCS and RB allocation is different:</w:t>
      </w:r>
    </w:p>
    <w:p w14:paraId="04C4708D" w14:textId="2508A4E1" w:rsidR="001C2072" w:rsidRPr="001C2072" w:rsidRDefault="001C2072" w:rsidP="001C2072">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 edge RB allocation, the best extension ratio maximizing the total gain is 1/4</w:t>
      </w:r>
    </w:p>
    <w:p w14:paraId="7F1E733D" w14:textId="72B2EF87" w:rsidR="001C2072" w:rsidRPr="001C2072" w:rsidRDefault="001C2072" w:rsidP="001C2072">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 inner RB allocation, when MCS index exceeds 4</w:t>
      </w:r>
      <w:r>
        <w:rPr>
          <w:rFonts w:ascii="Times New Roman" w:hAnsi="Times New Roman"/>
          <w:b/>
          <w:i/>
          <w:kern w:val="0"/>
          <w:sz w:val="20"/>
          <w:szCs w:val="20"/>
          <w:lang w:val="en-GB" w:eastAsia="zh-CN"/>
        </w:rPr>
        <w:t>, extension ratio 1/9 shows better</w:t>
      </w:r>
      <w:r w:rsidRPr="001C2072">
        <w:rPr>
          <w:rFonts w:ascii="Times New Roman" w:hAnsi="Times New Roman"/>
          <w:b/>
          <w:i/>
          <w:kern w:val="0"/>
          <w:sz w:val="20"/>
          <w:szCs w:val="20"/>
          <w:lang w:val="en-GB" w:eastAsia="zh-CN"/>
        </w:rPr>
        <w:t xml:space="preserve"> performance </w:t>
      </w:r>
      <w:r>
        <w:rPr>
          <w:rFonts w:ascii="Times New Roman" w:hAnsi="Times New Roman"/>
          <w:b/>
          <w:i/>
          <w:kern w:val="0"/>
          <w:sz w:val="20"/>
          <w:szCs w:val="20"/>
          <w:lang w:val="en-GB" w:eastAsia="zh-CN"/>
        </w:rPr>
        <w:t>comparing</w:t>
      </w:r>
      <w:r w:rsidRPr="001C2072">
        <w:rPr>
          <w:rFonts w:ascii="Times New Roman" w:hAnsi="Times New Roman"/>
          <w:b/>
          <w:i/>
          <w:kern w:val="0"/>
          <w:sz w:val="20"/>
          <w:szCs w:val="20"/>
          <w:lang w:val="en-GB" w:eastAsia="zh-CN"/>
        </w:rPr>
        <w:t xml:space="preserve"> to extension ratio 1/4.</w:t>
      </w:r>
    </w:p>
    <w:p w14:paraId="49213944" w14:textId="11A23181" w:rsidR="001C2072" w:rsidRPr="001C2072" w:rsidRDefault="001C2072" w:rsidP="001C2072">
      <w:pPr>
        <w:spacing w:before="72"/>
      </w:pPr>
      <w:r>
        <w:t>Moreover, extension ratio 1/9 satisfies the DFT size restriction.</w:t>
      </w:r>
      <w:r>
        <w:rPr>
          <w:rFonts w:hint="eastAsia"/>
        </w:rPr>
        <w:t xml:space="preserve"> </w:t>
      </w:r>
      <w:r>
        <w:t xml:space="preserve">Thus, extension ratios 1/4 and 1/9 should be supported to achieve the best performance for different MCS index and RB allocations.  </w:t>
      </w:r>
    </w:p>
    <w:p w14:paraId="29FEB24E" w14:textId="3FD47C4A" w:rsidR="003800A6" w:rsidRPr="00851A88" w:rsidRDefault="001C2072" w:rsidP="00851A88">
      <w:pPr>
        <w:spacing w:before="72"/>
        <w:rPr>
          <w:b/>
          <w:i/>
        </w:rPr>
      </w:pPr>
      <w:r>
        <w:rPr>
          <w:b/>
          <w:i/>
        </w:rPr>
        <w:t>Proposal</w:t>
      </w:r>
      <w:r w:rsidRPr="0056168B">
        <w:rPr>
          <w:b/>
          <w:i/>
        </w:rPr>
        <w:t xml:space="preserve"> </w:t>
      </w:r>
      <w:r>
        <w:rPr>
          <w:b/>
          <w:i/>
        </w:rPr>
        <w:t>2</w:t>
      </w:r>
      <w:r w:rsidRPr="0056168B">
        <w:rPr>
          <w:b/>
          <w:i/>
        </w:rPr>
        <w:t>:</w:t>
      </w:r>
      <w:r>
        <w:rPr>
          <w:b/>
          <w:i/>
        </w:rPr>
        <w:t xml:space="preserve"> To achieve better total gain, </w:t>
      </w:r>
      <w:r w:rsidR="001D1D3B">
        <w:rPr>
          <w:b/>
          <w:i/>
        </w:rPr>
        <w:t>both 1/4 and 1/9</w:t>
      </w:r>
      <w:r>
        <w:rPr>
          <w:b/>
          <w:i/>
        </w:rPr>
        <w:t xml:space="preserve"> spectrum extension ratio should be considered</w:t>
      </w:r>
      <w:r w:rsidR="001D1D3B">
        <w:rPr>
          <w:b/>
          <w:i/>
        </w:rPr>
        <w:t>.</w:t>
      </w:r>
    </w:p>
    <w:p w14:paraId="032C0103" w14:textId="0E856950" w:rsidR="00935A58" w:rsidRDefault="00757EA2" w:rsidP="00E60FE8">
      <w:pPr>
        <w:rPr>
          <w:b/>
          <w:i/>
          <w:highlight w:val="yellow"/>
        </w:rPr>
      </w:pPr>
      <w:r>
        <w:rPr>
          <w:b/>
          <w:sz w:val="24"/>
          <w:u w:val="single"/>
          <w:lang w:eastAsia="en-US"/>
        </w:rPr>
        <w:t>Other</w:t>
      </w:r>
      <w:r w:rsidR="00935A58">
        <w:rPr>
          <w:b/>
          <w:sz w:val="24"/>
          <w:u w:val="single"/>
          <w:lang w:eastAsia="en-US"/>
        </w:rPr>
        <w:t xml:space="preserve"> spectrum extension </w:t>
      </w:r>
      <w:r w:rsidR="00A64633">
        <w:rPr>
          <w:b/>
          <w:sz w:val="24"/>
          <w:u w:val="single"/>
          <w:lang w:eastAsia="en-US"/>
        </w:rPr>
        <w:t>scheme</w:t>
      </w:r>
    </w:p>
    <w:p w14:paraId="518BEB76" w14:textId="77777777" w:rsidR="006D7D1F" w:rsidRPr="00C10FE3" w:rsidRDefault="006D7D1F" w:rsidP="006E260D">
      <w:pPr>
        <w:spacing w:before="72"/>
        <w:jc w:val="both"/>
      </w:pPr>
      <w:r w:rsidRPr="006D7D1F">
        <w:t>According to RAN1 discussion</w:t>
      </w:r>
      <w:r>
        <w:t xml:space="preserve">, three extension methods </w:t>
      </w:r>
      <w:r w:rsidRPr="00C10FE3">
        <w:t>have been agreed for studying:</w:t>
      </w:r>
    </w:p>
    <w:p w14:paraId="7FD4DCC3" w14:textId="77777777" w:rsidR="006D7D1F" w:rsidRPr="00C10FE3" w:rsidRDefault="006D7D1F" w:rsidP="006D7D1F">
      <w:pPr>
        <w:spacing w:before="72"/>
        <w:rPr>
          <w:rFonts w:ascii="Times" w:hAnsi="Times"/>
          <w:iCs/>
          <w:lang w:val="fr-FR"/>
        </w:rPr>
      </w:pPr>
      <w:r w:rsidRPr="00C10FE3">
        <w:rPr>
          <w:rFonts w:ascii="Times" w:hAnsi="Times"/>
          <w:iCs/>
          <w:lang w:val="fr-FR"/>
        </w:rPr>
        <w:t>•</w:t>
      </w:r>
      <w:r w:rsidRPr="00C10FE3">
        <w:rPr>
          <w:rFonts w:ascii="Times" w:hAnsi="Times"/>
          <w:iCs/>
          <w:lang w:val="fr-FR"/>
        </w:rPr>
        <w:tab/>
      </w:r>
      <w:r w:rsidRPr="00C10FE3">
        <w:rPr>
          <w:rFonts w:ascii="Times" w:hAnsi="Times"/>
          <w:b/>
          <w:iCs/>
          <w:u w:val="single"/>
          <w:lang w:val="fr-FR"/>
        </w:rPr>
        <w:t>Option 1:</w:t>
      </w:r>
      <w:r w:rsidRPr="00C10FE3">
        <w:rPr>
          <w:rFonts w:ascii="Times" w:hAnsi="Times"/>
          <w:iCs/>
          <w:lang w:val="fr-FR"/>
        </w:rPr>
        <w:t xml:space="preserve"> Symmetric extension </w:t>
      </w:r>
    </w:p>
    <w:p w14:paraId="24262F4F" w14:textId="77777777" w:rsidR="006D7D1F" w:rsidRPr="00C10FE3" w:rsidRDefault="006D7D1F" w:rsidP="006D7D1F">
      <w:pPr>
        <w:spacing w:before="72"/>
        <w:rPr>
          <w:rFonts w:ascii="Times" w:hAnsi="Times"/>
          <w:iCs/>
          <w:lang w:val="fr-FR"/>
        </w:rPr>
      </w:pPr>
      <w:r w:rsidRPr="00C10FE3">
        <w:rPr>
          <w:rFonts w:ascii="Times" w:hAnsi="Times"/>
          <w:iCs/>
          <w:lang w:val="fr-FR"/>
        </w:rPr>
        <w:t>•</w:t>
      </w:r>
      <w:r w:rsidRPr="00C10FE3">
        <w:rPr>
          <w:rFonts w:ascii="Times" w:hAnsi="Times"/>
          <w:iCs/>
          <w:lang w:val="fr-FR"/>
        </w:rPr>
        <w:tab/>
      </w:r>
      <w:r w:rsidRPr="00C10FE3">
        <w:rPr>
          <w:rFonts w:ascii="Times" w:hAnsi="Times"/>
          <w:b/>
          <w:iCs/>
          <w:u w:val="single"/>
          <w:lang w:val="fr-FR"/>
        </w:rPr>
        <w:t>Option 2:</w:t>
      </w:r>
      <w:r w:rsidRPr="00C10FE3">
        <w:rPr>
          <w:rFonts w:ascii="Times" w:hAnsi="Times"/>
          <w:iCs/>
          <w:lang w:val="fr-FR"/>
        </w:rPr>
        <w:t xml:space="preserve"> Cyclic extension</w:t>
      </w:r>
    </w:p>
    <w:p w14:paraId="67F1B6F3" w14:textId="69B1AA33" w:rsidR="006D7D1F" w:rsidRPr="00C10FE3" w:rsidRDefault="006D7D1F" w:rsidP="006D7D1F">
      <w:pPr>
        <w:spacing w:before="72"/>
        <w:rPr>
          <w:rFonts w:ascii="Times" w:hAnsi="Times"/>
          <w:iCs/>
        </w:rPr>
      </w:pPr>
      <w:r w:rsidRPr="00C10FE3">
        <w:rPr>
          <w:rFonts w:ascii="Times" w:hAnsi="Times"/>
          <w:iCs/>
        </w:rPr>
        <w:t>•</w:t>
      </w:r>
      <w:r w:rsidRPr="00C10FE3">
        <w:rPr>
          <w:rFonts w:ascii="Times" w:hAnsi="Times"/>
          <w:iCs/>
        </w:rPr>
        <w:tab/>
      </w:r>
      <w:r w:rsidRPr="00C10FE3">
        <w:rPr>
          <w:rFonts w:ascii="Times" w:hAnsi="Times"/>
          <w:b/>
          <w:iCs/>
          <w:u w:val="single"/>
        </w:rPr>
        <w:t>Option 3:</w:t>
      </w:r>
      <w:r w:rsidRPr="00C10FE3">
        <w:rPr>
          <w:rFonts w:ascii="Times" w:hAnsi="Times"/>
          <w:iCs/>
        </w:rPr>
        <w:t xml:space="preserve"> Cyclic</w:t>
      </w:r>
      <w:r w:rsidR="00F974C5">
        <w:rPr>
          <w:rFonts w:ascii="Times" w:hAnsi="Times"/>
          <w:iCs/>
        </w:rPr>
        <w:t xml:space="preserve"> shift plus symmetric extension</w:t>
      </w:r>
    </w:p>
    <w:p w14:paraId="4435E381" w14:textId="41A6EF0B" w:rsidR="00F974C5" w:rsidRPr="00C10FE3" w:rsidRDefault="00F974C5" w:rsidP="006E260D">
      <w:pPr>
        <w:spacing w:before="72"/>
        <w:jc w:val="both"/>
      </w:pPr>
      <w:r w:rsidRPr="00F974C5">
        <w:rPr>
          <w:rFonts w:ascii="Times" w:hAnsi="Times"/>
          <w:iCs/>
        </w:rPr>
        <w:t xml:space="preserve">Option 3 can be </w:t>
      </w:r>
      <w:r w:rsidR="0017673C">
        <w:rPr>
          <w:rFonts w:ascii="Times" w:hAnsi="Times"/>
          <w:iCs/>
        </w:rPr>
        <w:t>denoted</w:t>
      </w:r>
      <w:r w:rsidRPr="00F974C5">
        <w:rPr>
          <w:rFonts w:ascii="Times" w:hAnsi="Times"/>
          <w:iCs/>
        </w:rPr>
        <w:t xml:space="preserve"> as the following</w:t>
      </w:r>
      <w:r>
        <w:rPr>
          <w:rFonts w:ascii="Times" w:hAnsi="Times"/>
          <w:b/>
          <w:iCs/>
        </w:rPr>
        <w:t xml:space="preserve"> </w:t>
      </w:r>
      <w:r w:rsidRPr="00C10FE3">
        <w:t>general formulation</w:t>
      </w:r>
      <w:r>
        <w:t>:</w:t>
      </w:r>
      <w:r w:rsidRPr="00C10FE3">
        <w:t xml:space="preserve"> </w:t>
      </w:r>
    </w:p>
    <w:tbl>
      <w:tblPr>
        <w:tblStyle w:val="5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0"/>
        <w:gridCol w:w="501"/>
      </w:tblGrid>
      <w:tr w:rsidR="00F974C5" w:rsidRPr="00C10FE3" w14:paraId="1743AEDE" w14:textId="77777777" w:rsidTr="001B012C">
        <w:trPr>
          <w:jc w:val="center"/>
        </w:trPr>
        <w:tc>
          <w:tcPr>
            <w:tcW w:w="9140" w:type="dxa"/>
          </w:tcPr>
          <w:p w14:paraId="700E8202" w14:textId="30BD62D2" w:rsidR="00F974C5" w:rsidRPr="00F974C5" w:rsidRDefault="00F974C5" w:rsidP="00DD2B2C">
            <w:pPr>
              <w:spacing w:before="72"/>
              <w:jc w:val="both"/>
              <w:rPr>
                <w:rFonts w:ascii="Cambria Math" w:hAnsi="Cambria Math"/>
                <w:lang w:val="sv-SE"/>
              </w:rPr>
            </w:pPr>
            <m:oMathPara>
              <m:oMathParaPr>
                <m:jc m:val="center"/>
              </m:oMathParaPr>
              <m:oMath>
                <m:r>
                  <w:rPr>
                    <w:rFonts w:ascii="Cambria Math" w:hAnsi="Cambria Math"/>
                    <w:lang w:val="sv-SE"/>
                  </w:rPr>
                  <m:t xml:space="preserve"> </m:t>
                </m:r>
                <m:sSup>
                  <m:sSupPr>
                    <m:ctrlPr>
                      <w:rPr>
                        <w:rFonts w:ascii="Cambria Math" w:hAnsi="Cambria Math"/>
                        <w:i/>
                        <w:lang w:val="sv-SE"/>
                      </w:rPr>
                    </m:ctrlPr>
                  </m:sSupPr>
                  <m:e>
                    <m:r>
                      <w:rPr>
                        <w:rFonts w:ascii="Cambria Math" w:hAnsi="Cambria Math"/>
                        <w:lang w:val="sv-SE"/>
                      </w:rPr>
                      <m:t>X</m:t>
                    </m:r>
                  </m:e>
                  <m:sup>
                    <m:d>
                      <m:dPr>
                        <m:ctrlPr>
                          <w:rPr>
                            <w:rFonts w:ascii="Cambria Math" w:hAnsi="Cambria Math"/>
                            <w:i/>
                            <w:lang w:val="sv-SE"/>
                          </w:rPr>
                        </m:ctrlPr>
                      </m:dPr>
                      <m:e>
                        <m:r>
                          <m:rPr>
                            <m:sty m:val="p"/>
                          </m:rPr>
                          <w:rPr>
                            <w:rFonts w:ascii="Cambria Math" w:hAnsi="Cambria Math"/>
                            <w:lang w:val="sv-SE"/>
                          </w:rPr>
                          <m:t>se</m:t>
                        </m:r>
                      </m:e>
                    </m:d>
                  </m:sup>
                </m:sSup>
                <m:d>
                  <m:dPr>
                    <m:begChr m:val="["/>
                    <m:endChr m:val="]"/>
                    <m:ctrlPr>
                      <w:rPr>
                        <w:rFonts w:ascii="Cambria Math" w:hAnsi="Cambria Math"/>
                        <w:i/>
                      </w:rPr>
                    </m:ctrlPr>
                  </m:dPr>
                  <m:e>
                    <m:r>
                      <w:rPr>
                        <w:rFonts w:ascii="Cambria Math" w:hAnsi="Cambria Math"/>
                      </w:rPr>
                      <m:t>k</m:t>
                    </m:r>
                  </m:e>
                </m:d>
                <m:r>
                  <w:rPr>
                    <w:rFonts w:ascii="Cambria Math" w:hAnsi="Cambria Math"/>
                    <w:lang w:val="sv-SE"/>
                  </w:rPr>
                  <m:t>=</m:t>
                </m:r>
                <m:r>
                  <w:rPr>
                    <w:rFonts w:ascii="Cambria Math" w:hAnsi="Cambria Math"/>
                  </w:rPr>
                  <m:t>X</m:t>
                </m:r>
                <m:d>
                  <m:dPr>
                    <m:begChr m:val="["/>
                    <m:endChr m:val="]"/>
                    <m:ctrlPr>
                      <w:rPr>
                        <w:rFonts w:ascii="Cambria Math" w:hAnsi="Cambria Math"/>
                        <w:i/>
                        <w:lang w:val="sv-SE"/>
                      </w:rPr>
                    </m:ctrlPr>
                  </m:dPr>
                  <m:e>
                    <m:r>
                      <w:rPr>
                        <w:rFonts w:ascii="Cambria Math" w:hAnsi="Cambria Math"/>
                      </w:rPr>
                      <m:t>k</m:t>
                    </m:r>
                    <m:r>
                      <w:rPr>
                        <w:rFonts w:ascii="Cambria Math" w:hAnsi="Cambria Math"/>
                        <w:lang w:val="sv-SE"/>
                      </w:rPr>
                      <m:t>+</m:t>
                    </m:r>
                    <m:r>
                      <w:rPr>
                        <w:rFonts w:ascii="Cambria Math" w:hAnsi="Cambria Math"/>
                      </w:rPr>
                      <m:t>L</m:t>
                    </m:r>
                    <m:r>
                      <w:rPr>
                        <w:rFonts w:ascii="Cambria Math" w:hAnsi="Cambria Math"/>
                        <w:lang w:val="sv-SE"/>
                      </w:rPr>
                      <m:t xml:space="preserve"> </m:t>
                    </m:r>
                    <m:d>
                      <m:dPr>
                        <m:ctrlPr>
                          <w:rPr>
                            <w:rFonts w:ascii="Cambria Math" w:hAnsi="Cambria Math"/>
                            <w:i/>
                            <w:lang w:val="sv-SE"/>
                          </w:rPr>
                        </m:ctrlPr>
                      </m:dPr>
                      <m:e>
                        <m:r>
                          <m:rPr>
                            <m:nor/>
                          </m:rPr>
                          <w:rPr>
                            <w:lang w:val="sv-SE"/>
                          </w:rPr>
                          <m:t>mod</m:t>
                        </m:r>
                        <m:r>
                          <w:rPr>
                            <w:rFonts w:ascii="Cambria Math" w:hAnsi="Cambria Math"/>
                            <w:lang w:val="sv-SE"/>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e>
                    </m:d>
                  </m:e>
                </m:d>
                <m:r>
                  <m:rPr>
                    <m:sty m:val="p"/>
                  </m:rPr>
                  <w:rPr>
                    <w:rFonts w:ascii="Cambria Math" w:hAnsi="Cambria Math"/>
                    <w:lang w:val="sv-SE"/>
                  </w:rPr>
                  <m:t xml:space="preserve">, </m:t>
                </m:r>
                <m:r>
                  <w:rPr>
                    <w:rFonts w:ascii="Cambria Math" w:hAnsi="Cambria Math"/>
                  </w:rPr>
                  <m:t>k</m:t>
                </m:r>
                <m:r>
                  <m:rPr>
                    <m:sty m:val="p"/>
                  </m:rPr>
                  <w:rPr>
                    <w:rFonts w:ascii="Cambria Math" w:hAnsi="Cambria Math"/>
                    <w:lang w:val="sv-SE"/>
                  </w:rPr>
                  <m:t>∈</m:t>
                </m:r>
                <m:d>
                  <m:dPr>
                    <m:begChr m:val="{"/>
                    <m:endChr m:val="}"/>
                    <m:ctrlPr>
                      <w:rPr>
                        <w:rFonts w:ascii="Cambria Math" w:hAnsi="Cambria Math"/>
                        <w:lang w:val="sv-SE"/>
                      </w:rPr>
                    </m:ctrlPr>
                  </m:dPr>
                  <m:e>
                    <m:r>
                      <m:rPr>
                        <m:sty m:val="p"/>
                      </m:rPr>
                      <w:rPr>
                        <w:rFonts w:ascii="Cambria Math" w:hAnsi="Cambria Math"/>
                        <w:lang w:val="sv-SE"/>
                      </w:rPr>
                      <m:t>0,1,…</m:t>
                    </m:r>
                    <m:sSub>
                      <m:sSubPr>
                        <m:ctrlPr>
                          <w:rPr>
                            <w:rFonts w:ascii="Cambria Math" w:hAnsi="Cambria Math"/>
                            <w:i/>
                          </w:rPr>
                        </m:ctrlPr>
                      </m:sSubPr>
                      <m:e>
                        <m:r>
                          <w:rPr>
                            <w:rFonts w:ascii="Cambria Math" w:hAnsi="Cambria Math"/>
                          </w:rPr>
                          <m:t>N</m:t>
                        </m:r>
                      </m:e>
                      <m:sub>
                        <m:r>
                          <m:rPr>
                            <m:sty m:val="p"/>
                          </m:rPr>
                          <w:rPr>
                            <w:rFonts w:ascii="Cambria Math" w:hAnsi="Cambria Math"/>
                            <w:lang w:val="sv-SE"/>
                          </w:rPr>
                          <m:t>sc</m:t>
                        </m:r>
                      </m:sub>
                    </m:sSub>
                    <m:r>
                      <w:rPr>
                        <w:rFonts w:ascii="Cambria Math" w:hAnsi="Cambria Math"/>
                        <w:lang w:val="sv-SE"/>
                      </w:rPr>
                      <m:t>-1</m:t>
                    </m:r>
                    <m:ctrlPr>
                      <w:rPr>
                        <w:rFonts w:ascii="Cambria Math" w:hAnsi="Cambria Math"/>
                        <w:i/>
                        <w:lang w:val="sv-SE"/>
                      </w:rPr>
                    </m:ctrlPr>
                  </m:e>
                </m:d>
                <m:r>
                  <w:rPr>
                    <w:rFonts w:ascii="Cambria Math" w:hAnsi="Cambria Math"/>
                    <w:lang w:val="sv-SE"/>
                  </w:rPr>
                  <m:t>,</m:t>
                </m:r>
              </m:oMath>
            </m:oMathPara>
          </w:p>
        </w:tc>
        <w:tc>
          <w:tcPr>
            <w:tcW w:w="501" w:type="dxa"/>
            <w:vAlign w:val="center"/>
          </w:tcPr>
          <w:p w14:paraId="779E843A" w14:textId="36663565" w:rsidR="00F974C5" w:rsidRPr="00C10FE3" w:rsidRDefault="00F974C5" w:rsidP="00F974C5">
            <w:pPr>
              <w:spacing w:before="72"/>
              <w:ind w:right="100"/>
              <w:jc w:val="right"/>
              <w:rPr>
                <w:rFonts w:ascii="Times" w:hAnsi="Times"/>
              </w:rPr>
            </w:pPr>
          </w:p>
        </w:tc>
      </w:tr>
    </w:tbl>
    <w:p w14:paraId="4FB4B925" w14:textId="77777777" w:rsidR="001B012C" w:rsidRDefault="001B012C" w:rsidP="001B012C">
      <w:pPr>
        <w:spacing w:before="72"/>
        <w:jc w:val="both"/>
        <w:rPr>
          <w:rFonts w:ascii="Times" w:hAnsi="Times"/>
        </w:rPr>
      </w:pPr>
      <w:r w:rsidRPr="00C10FE3">
        <w:rPr>
          <w:rFonts w:ascii="Times" w:hAnsi="Times"/>
          <w:iCs/>
        </w:rPr>
        <w:t>This formulation uses a general shift parameter</w:t>
      </w:r>
      <m:oMath>
        <m:r>
          <w:rPr>
            <w:rFonts w:ascii="Cambria Math" w:hAnsi="Cambria Math"/>
          </w:rPr>
          <m:t xml:space="preserve"> L</m:t>
        </m:r>
      </m:oMath>
      <w:r w:rsidRPr="00C10FE3">
        <w:rPr>
          <w:rFonts w:ascii="Times" w:hAnsi="Times"/>
          <w:iCs/>
        </w:rPr>
        <w:t xml:space="preserve"> </w:t>
      </w:r>
      <w:r w:rsidRPr="00C10FE3">
        <w:t xml:space="preserve">encompassing the other options which correspond to </w:t>
      </w:r>
      <w:r w:rsidRPr="00C10FE3">
        <w:rPr>
          <w:rFonts w:ascii="Times" w:hAnsi="Times"/>
          <w:iCs/>
        </w:rPr>
        <w:t xml:space="preserve">specific values of </w:t>
      </w:r>
      <m:oMath>
        <m:r>
          <w:rPr>
            <w:rFonts w:ascii="Cambria Math" w:hAnsi="Cambria Math"/>
          </w:rPr>
          <m:t>L</m:t>
        </m:r>
      </m:oMath>
      <w:r w:rsidRPr="00C10FE3">
        <w:rPr>
          <w:rFonts w:ascii="Times" w:hAnsi="Times"/>
        </w:rPr>
        <w:t>:</w:t>
      </w:r>
    </w:p>
    <w:p w14:paraId="632F8E84" w14:textId="77777777" w:rsidR="001B012C" w:rsidRPr="00C10FE3" w:rsidRDefault="001B012C" w:rsidP="001B012C">
      <w:pPr>
        <w:numPr>
          <w:ilvl w:val="0"/>
          <w:numId w:val="16"/>
        </w:numPr>
        <w:overflowPunct/>
        <w:autoSpaceDE/>
        <w:autoSpaceDN/>
        <w:adjustRightInd/>
        <w:spacing w:before="93" w:after="0"/>
        <w:textAlignment w:val="auto"/>
        <w:rPr>
          <w:rFonts w:ascii="Times" w:hAnsi="Times"/>
          <w:iCs/>
        </w:rPr>
      </w:pPr>
      <w:r w:rsidRPr="00C10FE3">
        <w:rPr>
          <w:rFonts w:ascii="Times" w:hAnsi="Times"/>
          <w:b/>
          <w:iCs/>
          <w:u w:val="single"/>
        </w:rPr>
        <w:t xml:space="preserve">Option </w:t>
      </w:r>
      <w:r>
        <w:rPr>
          <w:rFonts w:ascii="Times" w:hAnsi="Times"/>
          <w:b/>
          <w:iCs/>
          <w:u w:val="single"/>
        </w:rPr>
        <w:t>1</w:t>
      </w:r>
      <w:r w:rsidRPr="00C10FE3">
        <w:rPr>
          <w:rFonts w:ascii="Times" w:hAnsi="Times"/>
          <w:iCs/>
        </w:rPr>
        <w:t xml:space="preserve"> is obtained by selecting</w:t>
      </w:r>
      <w:r w:rsidRPr="00C10FE3">
        <w:rPr>
          <w:i/>
        </w:rPr>
        <w:t xml:space="preserve"> </w:t>
      </w:r>
      <m:oMath>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data</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/2</m:t>
        </m:r>
      </m:oMath>
      <w:r w:rsidRPr="00C10FE3">
        <w:rPr>
          <w:rFonts w:ascii="Times" w:hAnsi="Times"/>
        </w:rPr>
        <w:t xml:space="preserve">. </w:t>
      </w:r>
      <w:r w:rsidRPr="00C10FE3">
        <w:rPr>
          <w:rFonts w:ascii="Times" w:hAnsi="Times"/>
          <w:iCs/>
        </w:rPr>
        <w:t xml:space="preserve">The SE becomes: </w:t>
      </w:r>
    </w:p>
    <w:tbl>
      <w:tblPr>
        <w:tblStyle w:val="54"/>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4"/>
        <w:gridCol w:w="521"/>
      </w:tblGrid>
      <w:tr w:rsidR="001B012C" w:rsidRPr="00C10FE3" w14:paraId="7A2E4F2B" w14:textId="77777777" w:rsidTr="006C3DF2">
        <w:tc>
          <w:tcPr>
            <w:tcW w:w="8424" w:type="dxa"/>
          </w:tcPr>
          <w:p w14:paraId="327B4222" w14:textId="77777777" w:rsidR="001B012C" w:rsidRPr="00C10FE3" w:rsidRDefault="002C3750" w:rsidP="006C3DF2">
            <w:pPr>
              <w:widowControl/>
              <w:adjustRightInd/>
              <w:spacing w:before="93"/>
              <w:rPr>
                <w:rFonts w:ascii="Times" w:hAnsi="Times"/>
                <w:iCs/>
              </w:rPr>
            </w:pPr>
            <m:oMathPara>
              <m:oMath>
                <m:sSup>
                  <m:sSupPr>
                    <m:ctrlPr>
                      <w:rPr>
                        <w:rFonts w:ascii="Cambria Math" w:hAnsi="Cambria Math"/>
                        <w:i/>
                      </w:rPr>
                    </m:ctrlPr>
                  </m:sSupPr>
                  <m:e>
                    <m:r>
                      <w:rPr>
                        <w:rFonts w:ascii="Cambria Math" w:hAnsi="Cambria Math"/>
                      </w:rPr>
                      <m:t>X</m:t>
                    </m:r>
                  </m:e>
                  <m:sup>
                    <m:r>
                      <m:rPr>
                        <m:sty m:val="p"/>
                      </m:rPr>
                      <w:rPr>
                        <w:rFonts w:ascii="Cambria Math" w:hAnsi="Cambria Math"/>
                        <w:lang w:val="sv-SE"/>
                      </w:rPr>
                      <m:t>(se)</m:t>
                    </m:r>
                  </m:sup>
                </m:sSup>
                <m:r>
                  <w:rPr>
                    <w:rFonts w:ascii="Cambria Math" w:hAnsi="Cambria Math"/>
                  </w:rPr>
                  <m:t>=</m:t>
                </m:r>
                <m:d>
                  <m:dPr>
                    <m:begChr m:val="{"/>
                    <m:endChr m:val="}"/>
                    <m:ctrlPr>
                      <w:rPr>
                        <w:rFonts w:ascii="Cambria Math" w:hAnsi="Cambria Math"/>
                        <w:i/>
                      </w:rPr>
                    </m:ctrlPr>
                  </m:dPr>
                  <m:e>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m:t>
                        </m:r>
                        <m:f>
                          <m:fPr>
                            <m:ctrlPr>
                              <w:rPr>
                                <w:rFonts w:ascii="Cambria Math" w:eastAsiaTheme="minorHAnsi" w:hAnsi="Cambria Math" w:cs="Calibri"/>
                                <w:i/>
                                <w:iCs/>
                              </w:rPr>
                            </m:ctrlPr>
                          </m:fPr>
                          <m:num>
                            <m:sSub>
                              <m:sSubPr>
                                <m:ctrlPr>
                                  <w:rPr>
                                    <w:rFonts w:ascii="Cambria Math" w:eastAsiaTheme="minorHAnsi" w:hAnsi="Cambria Math" w:cs="Calibri"/>
                                    <w:i/>
                                    <w:iCs/>
                                  </w:rPr>
                                </m:ctrlPr>
                              </m:sSubPr>
                              <m:e>
                                <m:r>
                                  <w:rPr>
                                    <w:rFonts w:ascii="Cambria Math" w:hAnsi="Cambria Math"/>
                                  </w:rPr>
                                  <m:t>N</m:t>
                                </m:r>
                              </m:e>
                              <m:sub>
                                <m:r>
                                  <m:rPr>
                                    <m:sty m:val="p"/>
                                  </m:rPr>
                                  <w:rPr>
                                    <w:rFonts w:ascii="Cambria Math" w:hAnsi="Cambria Math"/>
                                  </w:rPr>
                                  <m:t>e</m:t>
                                </m:r>
                              </m:sub>
                            </m:sSub>
                          </m:num>
                          <m:den>
                            <m:r>
                              <w:rPr>
                                <w:rFonts w:ascii="Cambria Math" w:hAnsi="Cambria Math"/>
                                <w:lang w:val="sv-SE"/>
                              </w:rPr>
                              <m:t>2</m:t>
                            </m:r>
                          </m:den>
                        </m:f>
                      </m:e>
                    </m:d>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-1</m:t>
                        </m:r>
                      </m:e>
                    </m:d>
                    <m:r>
                      <w:rPr>
                        <w:rFonts w:ascii="Cambria Math" w:hAnsi="Cambria Math"/>
                      </w:rPr>
                      <m:t>, X</m:t>
                    </m:r>
                    <m:d>
                      <m:dPr>
                        <m:begChr m:val="["/>
                        <m:endChr m:val="]"/>
                        <m:ctrlPr>
                          <w:rPr>
                            <w:rFonts w:ascii="Cambria Math" w:hAnsi="Cambria Math"/>
                            <w:i/>
                          </w:rPr>
                        </m:ctrlPr>
                      </m:dPr>
                      <m:e>
                        <m:r>
                          <w:rPr>
                            <w:rFonts w:ascii="Cambria Math" w:hAnsi="Cambria Math"/>
                          </w:rPr>
                          <m:t>0</m:t>
                        </m:r>
                      </m:e>
                    </m:d>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-1</m:t>
                        </m:r>
                      </m:e>
                    </m:d>
                    <m:r>
                      <w:rPr>
                        <w:rFonts w:ascii="Cambria Math" w:hAnsi="Cambria Math"/>
                      </w:rPr>
                      <m:t>, X</m:t>
                    </m:r>
                    <m:d>
                      <m:dPr>
                        <m:begChr m:val="["/>
                        <m:endChr m:val="]"/>
                        <m:ctrlPr>
                          <w:rPr>
                            <w:rFonts w:ascii="Cambria Math" w:hAnsi="Cambria Math"/>
                            <w:i/>
                          </w:rPr>
                        </m:ctrlPr>
                      </m:dPr>
                      <m:e>
                        <m:r>
                          <w:rPr>
                            <w:rFonts w:ascii="Cambria Math" w:hAnsi="Cambria Math"/>
                          </w:rPr>
                          <m:t>0</m:t>
                        </m:r>
                      </m:e>
                    </m:d>
                    <m:r>
                      <w:rPr>
                        <w:rFonts w:ascii="Cambria Math" w:hAnsi="Cambria Math"/>
                      </w:rPr>
                      <m:t>, …,X</m:t>
                    </m:r>
                    <m:d>
                      <m:dPr>
                        <m:begChr m:val="["/>
                        <m:endChr m:val="]"/>
                        <m:ctrlPr>
                          <w:rPr>
                            <w:rFonts w:ascii="Cambria Math" w:hAnsi="Cambria Math"/>
                            <w:i/>
                          </w:rPr>
                        </m:ctrlPr>
                      </m:dPr>
                      <m:e>
                        <m:f>
                          <m:fPr>
                            <m:ctrlPr>
                              <w:rPr>
                                <w:rFonts w:ascii="Cambria Math" w:eastAsiaTheme="minorHAnsi" w:hAnsi="Cambria Math" w:cs="Calibri"/>
                                <w:i/>
                                <w:iCs/>
                              </w:rPr>
                            </m:ctrlPr>
                          </m:fPr>
                          <m:num>
                            <m:sSub>
                              <m:sSubPr>
                                <m:ctrlPr>
                                  <w:rPr>
                                    <w:rFonts w:ascii="Cambria Math" w:eastAsiaTheme="minorHAnsi" w:hAnsi="Cambria Math" w:cs="Calibri"/>
                                    <w:i/>
                                    <w:iCs/>
                                  </w:rPr>
                                </m:ctrlPr>
                              </m:sSubPr>
                              <m:e>
                                <m:r>
                                  <w:rPr>
                                    <w:rFonts w:ascii="Cambria Math" w:hAnsi="Cambria Math"/>
                                  </w:rPr>
                                  <m:t>N</m:t>
                                </m:r>
                              </m:e>
                              <m:sub>
                                <m:r>
                                  <m:rPr>
                                    <m:sty m:val="p"/>
                                  </m:rPr>
                                  <w:rPr>
                                    <w:rFonts w:ascii="Cambria Math" w:hAnsi="Cambria Math"/>
                                  </w:rPr>
                                  <m:t>e</m:t>
                                </m:r>
                              </m:sub>
                            </m:sSub>
                          </m:num>
                          <m:den>
                            <m:r>
                              <w:rPr>
                                <w:rFonts w:ascii="Cambria Math" w:hAnsi="Cambria Math"/>
                                <w:lang w:val="sv-SE"/>
                              </w:rPr>
                              <m:t>2</m:t>
                            </m:r>
                          </m:den>
                        </m:f>
                        <m:r>
                          <w:rPr>
                            <w:rFonts w:ascii="Cambria Math" w:eastAsiaTheme="minorHAnsi" w:hAnsi="Cambria Math" w:cs="Calibri"/>
                          </w:rPr>
                          <m:t>-1</m:t>
                        </m:r>
                      </m:e>
                    </m:d>
                  </m:e>
                </m:d>
              </m:oMath>
            </m:oMathPara>
          </w:p>
        </w:tc>
        <w:tc>
          <w:tcPr>
            <w:tcW w:w="521" w:type="dxa"/>
            <w:vAlign w:val="center"/>
          </w:tcPr>
          <w:p w14:paraId="3DA4E692" w14:textId="489F936F" w:rsidR="001B012C" w:rsidRPr="00C10FE3" w:rsidRDefault="001B012C" w:rsidP="001B012C">
            <w:pPr>
              <w:widowControl/>
              <w:adjustRightInd/>
              <w:spacing w:before="93"/>
              <w:jc w:val="right"/>
              <w:rPr>
                <w:rFonts w:ascii="Times" w:hAnsi="Times"/>
                <w:iCs/>
              </w:rPr>
            </w:pPr>
            <w:r w:rsidRPr="00C10FE3">
              <w:rPr>
                <w:rFonts w:ascii="Times" w:hAnsi="Times"/>
                <w:iCs/>
              </w:rPr>
              <w:t>(</w:t>
            </w:r>
            <w:r>
              <w:rPr>
                <w:rFonts w:ascii="Times" w:hAnsi="Times"/>
                <w:iCs/>
              </w:rPr>
              <w:t>1</w:t>
            </w:r>
            <w:r w:rsidRPr="00C10FE3">
              <w:rPr>
                <w:rFonts w:ascii="Times" w:hAnsi="Times"/>
                <w:iCs/>
              </w:rPr>
              <w:t>)</w:t>
            </w:r>
          </w:p>
        </w:tc>
      </w:tr>
    </w:tbl>
    <w:p w14:paraId="5DA0268C" w14:textId="77777777" w:rsidR="001B012C" w:rsidRPr="00C10FE3" w:rsidRDefault="001B012C" w:rsidP="001B012C">
      <w:pPr>
        <w:numPr>
          <w:ilvl w:val="0"/>
          <w:numId w:val="16"/>
        </w:numPr>
        <w:overflowPunct/>
        <w:autoSpaceDE/>
        <w:autoSpaceDN/>
        <w:adjustRightInd/>
        <w:spacing w:before="93" w:after="0"/>
        <w:textAlignment w:val="auto"/>
        <w:rPr>
          <w:rFonts w:ascii="Times" w:hAnsi="Times"/>
          <w:iCs/>
        </w:rPr>
      </w:pPr>
      <w:r w:rsidRPr="00C10FE3">
        <w:rPr>
          <w:rFonts w:ascii="Times" w:hAnsi="Times"/>
          <w:b/>
          <w:iCs/>
          <w:u w:val="single"/>
        </w:rPr>
        <w:t xml:space="preserve">Option </w:t>
      </w:r>
      <w:r>
        <w:rPr>
          <w:rFonts w:ascii="Times" w:hAnsi="Times"/>
          <w:b/>
          <w:iCs/>
          <w:u w:val="single"/>
        </w:rPr>
        <w:t>2</w:t>
      </w:r>
      <w:r w:rsidRPr="00C10FE3">
        <w:rPr>
          <w:rFonts w:ascii="Times" w:hAnsi="Times"/>
          <w:iCs/>
        </w:rPr>
        <w:t xml:space="preserve"> is obtained by selecting</w:t>
      </w:r>
      <w:r w:rsidRPr="00C10FE3">
        <w:rPr>
          <w:i/>
        </w:rPr>
        <w:t xml:space="preserve"> </w:t>
      </w:r>
      <m:oMath>
        <m:r>
          <w:rPr>
            <w:rFonts w:ascii="Cambria Math" w:hAnsi="Cambria Math"/>
          </w:rPr>
          <m:t>L=0</m:t>
        </m:r>
      </m:oMath>
      <w:r w:rsidRPr="00C10FE3">
        <w:rPr>
          <w:rFonts w:ascii="Times" w:hAnsi="Times"/>
          <w:iCs/>
        </w:rPr>
        <w:t xml:space="preserve">. The SE is then specifically </w:t>
      </w:r>
    </w:p>
    <w:tbl>
      <w:tblPr>
        <w:tblStyle w:val="5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39"/>
        <w:gridCol w:w="946"/>
      </w:tblGrid>
      <w:tr w:rsidR="001B012C" w:rsidRPr="00C10FE3" w14:paraId="2D63D42B" w14:textId="77777777" w:rsidTr="006C3DF2">
        <w:tc>
          <w:tcPr>
            <w:tcW w:w="7639" w:type="dxa"/>
          </w:tcPr>
          <w:p w14:paraId="63F3A17F" w14:textId="77777777" w:rsidR="001B012C" w:rsidRPr="00C10FE3" w:rsidRDefault="002C3750" w:rsidP="006C3DF2">
            <w:pPr>
              <w:spacing w:before="72"/>
              <w:rPr>
                <w:rFonts w:ascii="Times" w:hAnsi="Times"/>
                <w:iCs/>
              </w:rPr>
            </w:pPr>
            <m:oMathPara>
              <m:oMath>
                <m:sSup>
                  <m:sSupPr>
                    <m:ctrlPr>
                      <w:rPr>
                        <w:rFonts w:ascii="Cambria Math" w:hAnsi="Cambria Math"/>
                        <w:i/>
                      </w:rPr>
                    </m:ctrlPr>
                  </m:sSupPr>
                  <m:e>
                    <m:r>
                      <w:rPr>
                        <w:rFonts w:ascii="Cambria Math" w:hAnsi="Cambria Math"/>
                      </w:rPr>
                      <m:t>X</m:t>
                    </m:r>
                  </m:e>
                  <m:sup>
                    <m:r>
                      <m:rPr>
                        <m:sty m:val="p"/>
                      </m:rPr>
                      <w:rPr>
                        <w:rFonts w:ascii="Cambria Math" w:hAnsi="Cambria Math"/>
                        <w:lang w:val="sv-SE"/>
                      </w:rPr>
                      <m:t>(se)</m:t>
                    </m:r>
                  </m:sup>
                </m:sSup>
                <m:r>
                  <w:rPr>
                    <w:rFonts w:ascii="Cambria Math" w:hAnsi="Cambria Math"/>
                  </w:rPr>
                  <m:t>=</m:t>
                </m:r>
                <m:d>
                  <m:dPr>
                    <m:begChr m:val="{"/>
                    <m:endChr m:val="}"/>
                    <m:ctrlPr>
                      <w:rPr>
                        <w:rFonts w:ascii="Cambria Math" w:hAnsi="Cambria Math"/>
                        <w:i/>
                      </w:rPr>
                    </m:ctrlPr>
                  </m:dPr>
                  <m:e>
                    <m:r>
                      <w:rPr>
                        <w:rFonts w:ascii="Cambria Math" w:hAnsi="Cambria Math"/>
                      </w:rPr>
                      <m:t>X</m:t>
                    </m:r>
                    <m:d>
                      <m:dPr>
                        <m:begChr m:val="["/>
                        <m:endChr m:val="]"/>
                        <m:ctrlPr>
                          <w:rPr>
                            <w:rFonts w:ascii="Cambria Math" w:hAnsi="Cambria Math"/>
                            <w:i/>
                          </w:rPr>
                        </m:ctrlPr>
                      </m:dPr>
                      <m:e>
                        <m:r>
                          <w:rPr>
                            <w:rFonts w:ascii="Cambria Math" w:hAnsi="Cambria Math"/>
                          </w:rPr>
                          <m:t>0</m:t>
                        </m:r>
                      </m:e>
                    </m:d>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-1</m:t>
                        </m:r>
                      </m:e>
                    </m:d>
                    <m:r>
                      <w:rPr>
                        <w:rFonts w:ascii="Cambria Math" w:hAnsi="Cambria Math"/>
                      </w:rPr>
                      <m:t>, X</m:t>
                    </m:r>
                    <m:d>
                      <m:dPr>
                        <m:begChr m:val="["/>
                        <m:endChr m:val="]"/>
                        <m:ctrlPr>
                          <w:rPr>
                            <w:rFonts w:ascii="Cambria Math" w:hAnsi="Cambria Math"/>
                            <w:i/>
                          </w:rPr>
                        </m:ctrlPr>
                      </m:dPr>
                      <m:e>
                        <m:r>
                          <w:rPr>
                            <w:rFonts w:ascii="Cambria Math" w:hAnsi="Cambria Math"/>
                          </w:rPr>
                          <m:t>0</m:t>
                        </m:r>
                      </m:e>
                    </m:d>
                    <m:r>
                      <w:rPr>
                        <w:rFonts w:ascii="Cambria Math" w:hAnsi="Cambria Math"/>
                      </w:rPr>
                      <m:t>,…,X</m:t>
                    </m:r>
                    <m:d>
                      <m:dPr>
                        <m:begChr m:val="["/>
                        <m:endChr m:val="]"/>
                        <m:ctrlPr>
                          <w:rPr>
                            <w:rFonts w:ascii="Cambria Math" w:hAnsi="Cambria Math"/>
                            <w:i/>
                          </w:rPr>
                        </m:ctrlPr>
                      </m:dPr>
                      <m:e>
                        <m:sSub>
                          <m:sSubPr>
                            <m:ctrlPr>
                              <w:rPr>
                                <w:rFonts w:ascii="Cambria Math" w:eastAsiaTheme="minorHAnsi" w:hAnsi="Cambria Math" w:cs="Calibri"/>
                                <w:i/>
                                <w:iCs/>
                              </w:rPr>
                            </m:ctrlPr>
                          </m:sSubPr>
                          <m:e>
                            <m:r>
                              <w:rPr>
                                <w:rFonts w:ascii="Cambria Math" w:hAnsi="Cambria Math"/>
                              </w:rPr>
                              <m:t>N</m:t>
                            </m:r>
                          </m:e>
                          <m:sub>
                            <m:r>
                              <m:rPr>
                                <m:sty m:val="p"/>
                              </m:rPr>
                              <w:rPr>
                                <w:rFonts w:ascii="Cambria Math" w:hAnsi="Cambria Math"/>
                              </w:rPr>
                              <m:t>e</m:t>
                            </m:r>
                          </m:sub>
                        </m:sSub>
                        <m:r>
                          <w:rPr>
                            <w:rFonts w:ascii="Cambria Math" w:eastAsiaTheme="minorHAnsi" w:hAnsi="Cambria Math" w:cs="Calibri"/>
                          </w:rPr>
                          <m:t>-1</m:t>
                        </m:r>
                      </m:e>
                    </m:d>
                  </m:e>
                </m:d>
              </m:oMath>
            </m:oMathPara>
          </w:p>
        </w:tc>
        <w:tc>
          <w:tcPr>
            <w:tcW w:w="946" w:type="dxa"/>
            <w:vAlign w:val="center"/>
          </w:tcPr>
          <w:p w14:paraId="148780C5" w14:textId="54D4F87B" w:rsidR="001B012C" w:rsidRPr="00C10FE3" w:rsidRDefault="001B012C" w:rsidP="001B012C">
            <w:pPr>
              <w:spacing w:before="72"/>
              <w:jc w:val="right"/>
              <w:rPr>
                <w:rFonts w:ascii="Times" w:hAnsi="Times"/>
                <w:iCs/>
              </w:rPr>
            </w:pPr>
            <w:r w:rsidRPr="00C10FE3">
              <w:rPr>
                <w:rFonts w:ascii="Times" w:hAnsi="Times"/>
                <w:iCs/>
              </w:rPr>
              <w:t>(</w:t>
            </w:r>
            <w:r>
              <w:rPr>
                <w:rFonts w:ascii="Times" w:hAnsi="Times"/>
                <w:iCs/>
              </w:rPr>
              <w:t>2</w:t>
            </w:r>
            <w:r w:rsidRPr="00C10FE3">
              <w:rPr>
                <w:rFonts w:ascii="Times" w:hAnsi="Times"/>
                <w:iCs/>
              </w:rPr>
              <w:t>)</w:t>
            </w:r>
          </w:p>
        </w:tc>
      </w:tr>
    </w:tbl>
    <w:p w14:paraId="5C825941" w14:textId="1E1EE167" w:rsidR="001B012C" w:rsidRPr="00513648" w:rsidRDefault="001B012C" w:rsidP="001B012C">
      <w:pPr>
        <w:spacing w:before="72"/>
        <w:rPr>
          <w:i/>
        </w:rPr>
      </w:pPr>
      <w:r w:rsidRPr="00C10FE3">
        <w:rPr>
          <w:b/>
          <w:i/>
        </w:rPr>
        <w:t xml:space="preserve">Observation </w:t>
      </w:r>
      <w:r>
        <w:rPr>
          <w:b/>
          <w:i/>
        </w:rPr>
        <w:t>4</w:t>
      </w:r>
      <w:r w:rsidRPr="00C10FE3">
        <w:rPr>
          <w:b/>
          <w:i/>
        </w:rPr>
        <w:t>:</w:t>
      </w:r>
      <w:r w:rsidRPr="00C10FE3">
        <w:t xml:space="preserve"> </w:t>
      </w:r>
      <w:r w:rsidRPr="001B012C">
        <w:rPr>
          <w:rFonts w:ascii="Times" w:hAnsi="Times"/>
          <w:b/>
          <w:i/>
          <w:iCs/>
        </w:rPr>
        <w:t>Option 1 and Option 2</w:t>
      </w:r>
      <w:r w:rsidRPr="001B012C">
        <w:rPr>
          <w:b/>
          <w:i/>
        </w:rPr>
        <w:t xml:space="preserve"> are special cases of Option 3 with specific cyclic shift </w:t>
      </w:r>
      <m:oMath>
        <m:r>
          <m:rPr>
            <m:sty m:val="bi"/>
          </m:rPr>
          <w:rPr>
            <w:rFonts w:ascii="Cambria Math" w:hAnsi="Cambria Math"/>
          </w:rPr>
          <m:t>L</m:t>
        </m:r>
      </m:oMath>
      <w:r w:rsidRPr="001B012C">
        <w:rPr>
          <w:b/>
          <w:i/>
        </w:rPr>
        <w:t>.</w:t>
      </w:r>
    </w:p>
    <w:p w14:paraId="0FA6F453" w14:textId="77777777" w:rsidR="001B012C" w:rsidRPr="00C10FE3" w:rsidRDefault="001B012C" w:rsidP="001B012C">
      <w:pPr>
        <w:spacing w:before="72"/>
        <w:jc w:val="both"/>
        <w:rPr>
          <w:rFonts w:ascii="Times" w:hAnsi="Times"/>
          <w:iCs/>
        </w:rPr>
      </w:pPr>
      <w:r w:rsidRPr="00C10FE3">
        <w:rPr>
          <w:rFonts w:ascii="Times" w:hAnsi="Times"/>
          <w:iCs/>
        </w:rPr>
        <w:t xml:space="preserve">For any value of </w:t>
      </w:r>
      <m:oMath>
        <m:r>
          <w:rPr>
            <w:rFonts w:ascii="Cambria Math" w:hAnsi="Cambria Math"/>
          </w:rPr>
          <m:t>L</m:t>
        </m:r>
      </m:oMath>
      <w:r w:rsidRPr="00C10FE3">
        <w:rPr>
          <w:rFonts w:ascii="Times" w:hAnsi="Times"/>
          <w:iCs/>
        </w:rPr>
        <w:t xml:space="preserve">, the original sequence of Fourier coefficient </w:t>
      </w:r>
      <m:oMath>
        <m:d>
          <m:dPr>
            <m:begChr m:val="{"/>
            <m:endChr m:val="}"/>
            <m:ctrlPr>
              <w:rPr>
                <w:rFonts w:ascii="Cambria Math" w:hAnsi="Cambria Math"/>
                <w:i/>
                <w:iCs/>
              </w:rPr>
            </m:ctrlPr>
          </m:dPr>
          <m:e>
            <m:r>
              <w:rPr>
                <w:rFonts w:ascii="Cambria Math" w:hAnsi="Cambria Math"/>
              </w:rPr>
              <m:t>X</m:t>
            </m:r>
            <m:d>
              <m:dPr>
                <m:begChr m:val="["/>
                <m:endChr m:val="]"/>
                <m:ctrlPr>
                  <w:rPr>
                    <w:rFonts w:ascii="Cambria Math" w:hAnsi="Cambria Math"/>
                    <w:i/>
                    <w:iCs/>
                  </w:rPr>
                </m:ctrlPr>
              </m:dPr>
              <m:e>
                <m:r>
                  <w:rPr>
                    <w:rFonts w:ascii="Cambria Math" w:hAnsi="Cambria Math"/>
                  </w:rPr>
                  <m:t>0</m:t>
                </m:r>
              </m:e>
            </m:d>
            <m:r>
              <w:rPr>
                <w:rFonts w:ascii="Cambria Math" w:hAnsi="Cambria Math"/>
              </w:rPr>
              <m:t>,…, X</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data</m:t>
                    </m:r>
                  </m:sub>
                </m:sSub>
                <m:r>
                  <w:rPr>
                    <w:rFonts w:ascii="Cambria Math" w:hAnsi="Cambria Math"/>
                  </w:rPr>
                  <m:t>-1</m:t>
                </m:r>
              </m:e>
            </m:d>
          </m:e>
        </m:d>
      </m:oMath>
      <w:r w:rsidRPr="00C10FE3">
        <w:rPr>
          <w:rFonts w:ascii="Times" w:hAnsi="Times"/>
          <w:iCs/>
        </w:rPr>
        <w:t xml:space="preserve"> as shown in </w:t>
      </w:r>
      <w:r>
        <w:rPr>
          <w:rFonts w:ascii="Times" w:hAnsi="Times"/>
          <w:iCs/>
        </w:rPr>
        <w:t xml:space="preserve">Figure 4 </w:t>
      </w:r>
      <w:r w:rsidRPr="00C10FE3">
        <w:rPr>
          <w:rFonts w:ascii="Times" w:hAnsi="Times"/>
          <w:iCs/>
        </w:rPr>
        <w:t xml:space="preserve">is always included in the in-band spectrum up to a cyclic-shift by </w:t>
      </w:r>
      <m:oMath>
        <m:r>
          <w:rPr>
            <w:rFonts w:ascii="Cambria Math" w:hAnsi="Cambria Math"/>
          </w:rPr>
          <m:t>L+</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rPr>
                  <m:t>e</m:t>
                </m:r>
              </m:sub>
            </m:sSub>
          </m:num>
          <m:den>
            <m:r>
              <w:rPr>
                <w:rFonts w:ascii="Cambria Math" w:hAnsi="Cambria Math"/>
              </w:rPr>
              <m:t>2</m:t>
            </m:r>
          </m:den>
        </m:f>
      </m:oMath>
      <w:r w:rsidRPr="00C10FE3">
        <w:rPr>
          <w:rFonts w:ascii="Times" w:hAnsi="Times"/>
          <w:iCs/>
        </w:rPr>
        <w:t xml:space="preserve"> symbols; and the left-side excess-band symbols are always the repetition of symbols of the right-side in-band edge; and similarly for the right-side excess band. </w:t>
      </w:r>
    </w:p>
    <w:p w14:paraId="12F7C23C" w14:textId="77777777" w:rsidR="001B012C" w:rsidRPr="00C10FE3" w:rsidRDefault="001B012C" w:rsidP="001B012C">
      <w:pPr>
        <w:spacing w:before="72"/>
        <w:jc w:val="both"/>
        <w:rPr>
          <w:rFonts w:ascii="Times" w:hAnsi="Times"/>
          <w:iCs/>
        </w:rPr>
      </w:pPr>
      <w:r w:rsidRPr="00C10FE3">
        <w:rPr>
          <w:rFonts w:ascii="Times" w:hAnsi="Times"/>
          <w:iCs/>
        </w:rPr>
        <w:lastRenderedPageBreak/>
        <w:t xml:space="preserve">For all options, which corresponds to different shift values </w:t>
      </w:r>
      <w:r w:rsidRPr="00C10FE3">
        <w:rPr>
          <w:rFonts w:ascii="Times" w:hAnsi="Times"/>
          <w:i/>
          <w:iCs/>
        </w:rPr>
        <w:t>L</w:t>
      </w:r>
      <w:r w:rsidRPr="00C10FE3">
        <w:rPr>
          <w:rFonts w:ascii="Times" w:hAnsi="Times"/>
          <w:iCs/>
        </w:rPr>
        <w:t xml:space="preserve">, the definition of SE needs to be known at the receiver. Beside this, it does not change the requirement of the receiver, except of performing the corresponding inverse cyclic shift.  </w:t>
      </w:r>
    </w:p>
    <w:p w14:paraId="3B135F28" w14:textId="0DC74A66" w:rsidR="001B012C" w:rsidRPr="001B012C" w:rsidRDefault="001B012C" w:rsidP="001B012C">
      <w:pPr>
        <w:spacing w:before="72"/>
        <w:rPr>
          <w:i/>
        </w:rPr>
      </w:pPr>
      <w:r w:rsidRPr="00C10FE3">
        <w:rPr>
          <w:b/>
          <w:i/>
        </w:rPr>
        <w:t>Observation</w:t>
      </w:r>
      <w:r>
        <w:rPr>
          <w:b/>
          <w:i/>
        </w:rPr>
        <w:t xml:space="preserve"> 5</w:t>
      </w:r>
      <w:r w:rsidRPr="00C10FE3">
        <w:rPr>
          <w:b/>
          <w:i/>
        </w:rPr>
        <w:t>:</w:t>
      </w:r>
      <w:r w:rsidRPr="00C10FE3">
        <w:t xml:space="preserve"> </w:t>
      </w:r>
      <w:r w:rsidRPr="001B012C">
        <w:rPr>
          <w:b/>
          <w:i/>
        </w:rPr>
        <w:t xml:space="preserve">The choice of </w:t>
      </w:r>
      <m:oMath>
        <m:r>
          <m:rPr>
            <m:sty m:val="bi"/>
          </m:rPr>
          <w:rPr>
            <w:rFonts w:ascii="Cambria Math" w:hAnsi="Cambria Math"/>
          </w:rPr>
          <m:t>L</m:t>
        </m:r>
      </m:oMath>
      <w:r w:rsidRPr="001B012C">
        <w:rPr>
          <w:b/>
          <w:i/>
        </w:rPr>
        <w:t xml:space="preserve"> does not change the set of symbols in the in-band and thus does not change the receiver requirement.</w:t>
      </w:r>
      <w:r w:rsidRPr="00C10FE3">
        <w:rPr>
          <w:i/>
        </w:rPr>
        <w:t xml:space="preserve">  </w:t>
      </w:r>
    </w:p>
    <w:p w14:paraId="71365B25" w14:textId="77777777" w:rsidR="001B012C" w:rsidRPr="00C10FE3" w:rsidRDefault="001B012C" w:rsidP="001B012C">
      <w:pPr>
        <w:spacing w:before="72"/>
        <w:jc w:val="center"/>
      </w:pPr>
      <w:r w:rsidRPr="00C10FE3">
        <w:object w:dxaOrig="7421" w:dyaOrig="3511" w14:anchorId="461FD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77.3pt" o:ole="">
            <v:imagedata r:id="rId21" o:title=""/>
          </v:shape>
          <o:OLEObject Type="Embed" ProgID="Visio.Drawing.15" ShapeID="_x0000_i1025" DrawAspect="Content" ObjectID="_1742673946" r:id="rId22"/>
        </w:object>
      </w:r>
    </w:p>
    <w:p w14:paraId="17052FDF" w14:textId="57570601" w:rsidR="001B012C" w:rsidRPr="001B012C" w:rsidRDefault="001B012C" w:rsidP="001B012C">
      <w:pPr>
        <w:spacing w:before="72" w:after="120"/>
        <w:jc w:val="center"/>
        <w:rPr>
          <w:b/>
          <w:lang w:eastAsia="ja-JP"/>
        </w:rPr>
      </w:pPr>
      <w:bookmarkStart w:id="3" w:name="_Ref117966453"/>
      <w:r w:rsidRPr="001B012C">
        <w:rPr>
          <w:b/>
          <w:lang w:eastAsia="ja-JP"/>
        </w:rPr>
        <w:t xml:space="preserve">Figure </w:t>
      </w:r>
      <w:bookmarkEnd w:id="3"/>
      <w:r w:rsidRPr="001B012C">
        <w:rPr>
          <w:b/>
          <w:lang w:eastAsia="ja-JP"/>
        </w:rPr>
        <w:t xml:space="preserve">4: Illustration of spectrum-extended data sequence as a function of the shift parameter </w:t>
      </w:r>
      <m:oMath>
        <m:r>
          <m:rPr>
            <m:sty m:val="bi"/>
          </m:rPr>
          <w:rPr>
            <w:rFonts w:ascii="Cambria Math" w:hAnsi="Cambria Math"/>
            <w:lang w:eastAsia="ja-JP"/>
          </w:rPr>
          <m:t>L</m:t>
        </m:r>
      </m:oMath>
      <w:r w:rsidRPr="001B012C">
        <w:rPr>
          <w:b/>
          <w:lang w:eastAsia="ja-JP"/>
        </w:rPr>
        <w:t xml:space="preserve"> with </w:t>
      </w:r>
      <m:oMath>
        <m:sSub>
          <m:sSubPr>
            <m:ctrlPr>
              <w:rPr>
                <w:rFonts w:ascii="Cambria Math" w:hAnsi="Cambria Math"/>
                <w:b/>
                <w:lang w:eastAsia="ja-JP"/>
              </w:rPr>
            </m:ctrlPr>
          </m:sSubPr>
          <m:e>
            <m:r>
              <m:rPr>
                <m:sty m:val="bi"/>
              </m:rPr>
              <w:rPr>
                <w:rFonts w:ascii="Cambria Math" w:hAnsi="Cambria Math"/>
                <w:lang w:eastAsia="ja-JP"/>
              </w:rPr>
              <m:t>N</m:t>
            </m:r>
          </m:e>
          <m:sub>
            <m:r>
              <m:rPr>
                <m:sty m:val="b"/>
              </m:rPr>
              <w:rPr>
                <w:rFonts w:ascii="Cambria Math" w:hAnsi="Cambria Math"/>
                <w:lang w:eastAsia="ja-JP"/>
              </w:rPr>
              <m:t>data</m:t>
            </m:r>
          </m:sub>
        </m:sSub>
        <m:r>
          <m:rPr>
            <m:sty m:val="b"/>
          </m:rPr>
          <w:rPr>
            <w:rFonts w:ascii="Cambria Math" w:hAnsi="Cambria Math"/>
            <w:lang w:eastAsia="ja-JP"/>
          </w:rPr>
          <m:t>=10</m:t>
        </m:r>
      </m:oMath>
      <w:r w:rsidRPr="001B012C">
        <w:rPr>
          <w:b/>
          <w:lang w:eastAsia="ja-JP"/>
        </w:rPr>
        <w:t xml:space="preserve"> symbols and </w:t>
      </w:r>
      <m:oMath>
        <m:sSub>
          <m:sSubPr>
            <m:ctrlPr>
              <w:rPr>
                <w:rFonts w:ascii="Cambria Math" w:hAnsi="Cambria Math"/>
                <w:b/>
                <w:lang w:eastAsia="ja-JP"/>
              </w:rPr>
            </m:ctrlPr>
          </m:sSubPr>
          <m:e>
            <m:r>
              <m:rPr>
                <m:sty m:val="bi"/>
              </m:rPr>
              <w:rPr>
                <w:rFonts w:ascii="Cambria Math" w:hAnsi="Cambria Math"/>
                <w:lang w:eastAsia="ja-JP"/>
              </w:rPr>
              <m:t>N</m:t>
            </m:r>
          </m:e>
          <m:sub>
            <m:r>
              <m:rPr>
                <m:sty m:val="b"/>
              </m:rPr>
              <w:rPr>
                <w:rFonts w:ascii="Cambria Math" w:hAnsi="Cambria Math"/>
                <w:lang w:eastAsia="ja-JP"/>
              </w:rPr>
              <m:t>e</m:t>
            </m:r>
          </m:sub>
        </m:sSub>
      </m:oMath>
      <w:r w:rsidRPr="001B012C">
        <w:rPr>
          <w:b/>
          <w:lang w:eastAsia="ja-JP"/>
        </w:rPr>
        <w:t>=4.</w:t>
      </w:r>
      <w:r>
        <w:rPr>
          <w:b/>
          <w:lang w:eastAsia="ja-JP"/>
        </w:rPr>
        <w:t xml:space="preserve"> </w:t>
      </w:r>
    </w:p>
    <w:p w14:paraId="3D0A2BB8" w14:textId="77777777" w:rsidR="001B012C" w:rsidRPr="00C10FE3" w:rsidRDefault="001B012C" w:rsidP="001B012C">
      <w:pPr>
        <w:spacing w:before="72"/>
        <w:jc w:val="both"/>
        <w:rPr>
          <w:rFonts w:ascii="Times" w:hAnsi="Times"/>
          <w:iCs/>
        </w:rPr>
      </w:pPr>
      <w:r w:rsidRPr="00C10FE3">
        <w:rPr>
          <w:rFonts w:ascii="Times" w:hAnsi="Times"/>
          <w:iCs/>
        </w:rPr>
        <w:t>In fact, any option can be equivalently be implemented as a cyclic extension or symmetric extension:</w:t>
      </w:r>
    </w:p>
    <w:p w14:paraId="4A3C040A" w14:textId="77777777" w:rsidR="001B012C" w:rsidRPr="00C10FE3" w:rsidRDefault="001B012C" w:rsidP="001B012C">
      <w:pPr>
        <w:widowControl w:val="0"/>
        <w:numPr>
          <w:ilvl w:val="0"/>
          <w:numId w:val="17"/>
        </w:numPr>
        <w:overflowPunct/>
        <w:autoSpaceDE/>
        <w:autoSpaceDN/>
        <w:snapToGrid w:val="0"/>
        <w:spacing w:beforeLines="30" w:before="72" w:after="0" w:line="60" w:lineRule="atLeast"/>
        <w:jc w:val="both"/>
        <w:textAlignment w:val="auto"/>
        <w:rPr>
          <w:rFonts w:ascii="Times" w:hAnsi="Times"/>
          <w:iCs/>
        </w:rPr>
      </w:pPr>
      <w:r w:rsidRPr="00C10FE3">
        <w:rPr>
          <w:rFonts w:ascii="Times" w:hAnsi="Times"/>
          <w:iCs/>
        </w:rPr>
        <w:t xml:space="preserve">Cyclic extension implementation of (1): </w:t>
      </w:r>
      <w:r w:rsidRPr="00C10FE3">
        <w:t xml:space="preserve">cyclically shifted </w:t>
      </w:r>
      <m:oMath>
        <m:r>
          <w:rPr>
            <w:rFonts w:ascii="Cambria Math" w:hAnsi="Cambria Math"/>
          </w:rPr>
          <m:t>X[k]</m:t>
        </m:r>
      </m:oMath>
      <w:r w:rsidRPr="00C10FE3">
        <w:t xml:space="preserve"> by </w:t>
      </w:r>
      <m:oMath>
        <m:r>
          <w:rPr>
            <w:rFonts w:ascii="Cambria Math" w:hAnsi="Cambria Math"/>
          </w:rPr>
          <m:t>L</m:t>
        </m:r>
      </m:oMath>
      <w:r w:rsidRPr="00C10FE3">
        <w:t xml:space="preserve"> then perform cylic extension.</w:t>
      </w:r>
    </w:p>
    <w:p w14:paraId="261CBB6E" w14:textId="628F4427" w:rsidR="001B012C" w:rsidRPr="001B012C" w:rsidRDefault="001B012C" w:rsidP="001B012C">
      <w:pPr>
        <w:widowControl w:val="0"/>
        <w:numPr>
          <w:ilvl w:val="0"/>
          <w:numId w:val="17"/>
        </w:numPr>
        <w:overflowPunct/>
        <w:autoSpaceDE/>
        <w:autoSpaceDN/>
        <w:snapToGrid w:val="0"/>
        <w:spacing w:beforeLines="30" w:before="72" w:after="0" w:line="60" w:lineRule="atLeast"/>
        <w:jc w:val="both"/>
        <w:textAlignment w:val="auto"/>
        <w:rPr>
          <w:rFonts w:ascii="Times" w:hAnsi="Times"/>
          <w:iCs/>
        </w:rPr>
      </w:pPr>
      <w:r w:rsidRPr="00C10FE3">
        <w:rPr>
          <w:rFonts w:ascii="Times" w:hAnsi="Times"/>
          <w:iCs/>
        </w:rPr>
        <w:t>Symmetric extension implementation of (1):</w:t>
      </w:r>
      <w:r w:rsidRPr="00C10FE3">
        <w:t xml:space="preserve"> cyclically shifted </w:t>
      </w:r>
      <m:oMath>
        <m:r>
          <w:rPr>
            <w:rFonts w:ascii="Cambria Math" w:hAnsi="Cambria Math"/>
          </w:rPr>
          <m:t>X[k]</m:t>
        </m:r>
      </m:oMath>
      <w:r w:rsidRPr="00C10FE3">
        <w:t xml:space="preserve"> by </w:t>
      </w:r>
      <m:oMath>
        <m:r>
          <w:rPr>
            <w:rFonts w:ascii="Cambria Math" w:hAnsi="Cambria Math"/>
          </w:rPr>
          <m:t>L+</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rPr>
                  <m:t>e</m:t>
                </m:r>
              </m:sub>
            </m:sSub>
          </m:num>
          <m:den>
            <m:r>
              <w:rPr>
                <w:rFonts w:ascii="Cambria Math" w:hAnsi="Cambria Math"/>
              </w:rPr>
              <m:t>2</m:t>
            </m:r>
          </m:den>
        </m:f>
      </m:oMath>
      <w:r w:rsidRPr="00C10FE3">
        <w:rPr>
          <w:rFonts w:ascii="Times" w:hAnsi="Times"/>
          <w:iCs/>
        </w:rPr>
        <w:t xml:space="preserve"> symbols</w:t>
      </w:r>
      <w:r w:rsidRPr="00C10FE3">
        <w:t xml:space="preserve"> and then perform symmetrical extension. </w:t>
      </w:r>
    </w:p>
    <w:p w14:paraId="755A51CD" w14:textId="276BB56C" w:rsidR="001B012C" w:rsidRPr="00C10FE3" w:rsidRDefault="001B012C" w:rsidP="001B012C">
      <w:pPr>
        <w:spacing w:before="72"/>
      </w:pPr>
      <w:r w:rsidRPr="00C10FE3">
        <w:rPr>
          <w:b/>
          <w:i/>
        </w:rPr>
        <w:t xml:space="preserve">Observation </w:t>
      </w:r>
      <w:r>
        <w:rPr>
          <w:b/>
          <w:i/>
        </w:rPr>
        <w:t>6</w:t>
      </w:r>
      <w:r w:rsidRPr="00C10FE3">
        <w:rPr>
          <w:b/>
          <w:i/>
        </w:rPr>
        <w:t>:</w:t>
      </w:r>
      <w:r w:rsidRPr="00C10FE3">
        <w:t xml:space="preserve"> </w:t>
      </w:r>
      <w:r w:rsidRPr="00880B0A">
        <w:rPr>
          <w:b/>
          <w:i/>
        </w:rPr>
        <w:t>All options can either be implemented as a cyclic extension or symmetric extension.</w:t>
      </w:r>
      <w:r>
        <w:t xml:space="preserve"> </w:t>
      </w:r>
    </w:p>
    <w:p w14:paraId="25010B74" w14:textId="77777777" w:rsidR="001B012C" w:rsidRPr="00C10FE3" w:rsidRDefault="001B012C" w:rsidP="001B012C">
      <w:pPr>
        <w:spacing w:before="72"/>
        <w:jc w:val="both"/>
      </w:pPr>
      <w:r w:rsidRPr="00C10FE3">
        <w:t xml:space="preserve">While the definition of SE, i.e. the value of </w:t>
      </w:r>
      <m:oMath>
        <m:r>
          <w:rPr>
            <w:rFonts w:ascii="Cambria Math" w:hAnsi="Cambria Math"/>
          </w:rPr>
          <m:t>L</m:t>
        </m:r>
      </m:oMath>
      <w:r w:rsidRPr="00C10FE3">
        <w:t xml:space="preserve">, does not change the receiver requirement, it does change the PAPR of the received signal. This is because it changes the phase differences among the DFT-s-OFDM pulses. Indeed, it can be shown that with DFT-s-OFDM using FDSS-SE, the constellation symbols are multiplexed by the set of pulses </w:t>
      </w:r>
      <m:oMath>
        <m:sSubSup>
          <m:sSubSupPr>
            <m:ctrlPr>
              <w:rPr>
                <w:rFonts w:ascii="Cambria Math" w:hAnsi="Cambria Math"/>
              </w:rPr>
            </m:ctrlPr>
          </m:sSub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e>
            </m:d>
          </m:e>
          <m:sub>
            <m:r>
              <w:rPr>
                <w:rFonts w:ascii="Cambria Math" w:hAnsi="Cambria Math"/>
              </w:rPr>
              <m:t>m</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m:rPr>
                    <m:sty m:val="p"/>
                  </m:rPr>
                  <w:rPr>
                    <w:rFonts w:ascii="Cambria Math" w:hAnsi="Cambria Math"/>
                  </w:rPr>
                  <m:t>data</m:t>
                </m:r>
              </m:sub>
            </m:sSub>
            <m:r>
              <m:rPr>
                <m:sty m:val="p"/>
              </m:rPr>
              <w:rPr>
                <w:rFonts w:ascii="Cambria Math" w:hAnsi="Cambria Math"/>
              </w:rPr>
              <m:t>-1</m:t>
            </m:r>
          </m:sup>
        </m:sSubSup>
      </m:oMath>
      <w:r w:rsidRPr="00C10FE3">
        <w:t xml:space="preserve"> where</w:t>
      </w:r>
    </w:p>
    <w:tbl>
      <w:tblPr>
        <w:tblStyle w:val="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6"/>
        <w:gridCol w:w="950"/>
      </w:tblGrid>
      <w:tr w:rsidR="001B012C" w:rsidRPr="00C10FE3" w14:paraId="0A29E2E8" w14:textId="77777777" w:rsidTr="006C3DF2">
        <w:tc>
          <w:tcPr>
            <w:tcW w:w="8526" w:type="dxa"/>
          </w:tcPr>
          <w:p w14:paraId="34211CDC" w14:textId="77777777" w:rsidR="001B012C" w:rsidRPr="00C10FE3" w:rsidRDefault="002C3750" w:rsidP="006C3DF2">
            <w:pPr>
              <w:autoSpaceDE/>
              <w:autoSpaceDN/>
              <w:spacing w:before="72"/>
              <w:ind w:firstLineChars="200" w:firstLine="400"/>
              <w:rPr>
                <w:szCs w:val="22"/>
              </w:rPr>
            </w:pPr>
            <m:oMathPara>
              <m:oMath>
                <m:sSub>
                  <m:sSubPr>
                    <m:ctrlPr>
                      <w:rPr>
                        <w:rFonts w:ascii="Cambria Math" w:hAnsi="Cambria Math"/>
                        <w:szCs w:val="22"/>
                      </w:rPr>
                    </m:ctrlPr>
                  </m:sSubPr>
                  <m:e>
                    <m:r>
                      <w:rPr>
                        <w:rFonts w:ascii="Cambria Math" w:hAnsi="Cambria Math"/>
                      </w:rPr>
                      <m:t>g</m:t>
                    </m:r>
                  </m:e>
                  <m:sub>
                    <m:r>
                      <w:rPr>
                        <w:rFonts w:ascii="Cambria Math" w:hAnsi="Cambria Math"/>
                      </w:rPr>
                      <m:t>m</m:t>
                    </m:r>
                  </m:sub>
                </m:sSub>
                <m:d>
                  <m:dPr>
                    <m:begChr m:val="["/>
                    <m:endChr m:val="]"/>
                    <m:ctrlPr>
                      <w:rPr>
                        <w:rFonts w:ascii="Cambria Math" w:hAnsi="Cambria Math"/>
                        <w:szCs w:val="22"/>
                      </w:rPr>
                    </m:ctrlPr>
                  </m:dPr>
                  <m:e>
                    <m:r>
                      <w:rPr>
                        <w:rFonts w:ascii="Cambria Math" w:hAnsi="Cambria Math"/>
                      </w:rPr>
                      <m:t>n</m:t>
                    </m:r>
                  </m:e>
                </m:d>
                <m:r>
                  <m:rPr>
                    <m:sty m:val="p"/>
                  </m:rPr>
                  <w:rPr>
                    <w:rFonts w:ascii="Cambria Math" w:hAnsi="Cambria Math"/>
                  </w:rPr>
                  <m:t>=</m:t>
                </m:r>
                <m:r>
                  <w:rPr>
                    <w:rFonts w:ascii="Cambria Math" w:hAnsi="Cambria Math"/>
                  </w:rPr>
                  <m:t>h</m:t>
                </m:r>
                <m:d>
                  <m:dPr>
                    <m:begChr m:val="["/>
                    <m:endChr m:val="]"/>
                    <m:ctrlPr>
                      <w:rPr>
                        <w:rFonts w:ascii="Cambria Math" w:hAnsi="Cambria Math"/>
                        <w:szCs w:val="22"/>
                      </w:rPr>
                    </m:ctrlPr>
                  </m:dPr>
                  <m:e>
                    <m:r>
                      <w:rPr>
                        <w:rFonts w:ascii="Cambria Math" w:hAnsi="Cambria Math"/>
                      </w:rPr>
                      <m:t>n</m:t>
                    </m:r>
                    <m:r>
                      <m:rPr>
                        <m:sty m:val="p"/>
                      </m:rPr>
                      <w:rPr>
                        <w:rFonts w:ascii="Cambria Math" w:hAnsi="Cambria Math"/>
                      </w:rPr>
                      <m:t>-</m:t>
                    </m:r>
                    <m:f>
                      <m:fPr>
                        <m:ctrlPr>
                          <w:rPr>
                            <w:rFonts w:ascii="Cambria Math" w:hAnsi="Cambria Math"/>
                            <w:szCs w:val="22"/>
                          </w:rPr>
                        </m:ctrlPr>
                      </m:fPr>
                      <m:num>
                        <m:sSub>
                          <m:sSubPr>
                            <m:ctrlPr>
                              <w:rPr>
                                <w:rFonts w:ascii="Cambria Math" w:hAnsi="Cambria Math"/>
                                <w:szCs w:val="22"/>
                              </w:rPr>
                            </m:ctrlPr>
                          </m:sSubPr>
                          <m:e>
                            <m:r>
                              <w:rPr>
                                <w:rFonts w:ascii="Cambria Math" w:hAnsi="Cambria Math"/>
                              </w:rPr>
                              <m:t>N</m:t>
                            </m:r>
                          </m:e>
                          <m:sub>
                            <m:r>
                              <m:rPr>
                                <m:sty m:val="p"/>
                              </m:rPr>
                              <w:rPr>
                                <w:rFonts w:ascii="Cambria Math" w:hAnsi="Cambria Math"/>
                              </w:rPr>
                              <m:t>fft</m:t>
                            </m:r>
                          </m:sub>
                        </m:sSub>
                      </m:num>
                      <m:den>
                        <m:sSub>
                          <m:sSubPr>
                            <m:ctrlPr>
                              <w:rPr>
                                <w:rFonts w:ascii="Cambria Math" w:hAnsi="Cambria Math"/>
                                <w:szCs w:val="22"/>
                              </w:rPr>
                            </m:ctrlPr>
                          </m:sSubPr>
                          <m:e>
                            <m:r>
                              <w:rPr>
                                <w:rFonts w:ascii="Cambria Math" w:hAnsi="Cambria Math"/>
                              </w:rPr>
                              <m:t>N</m:t>
                            </m:r>
                          </m:e>
                          <m:sub>
                            <m:r>
                              <m:rPr>
                                <m:sty m:val="p"/>
                              </m:rPr>
                              <w:rPr>
                                <w:rFonts w:ascii="Cambria Math" w:hAnsi="Cambria Math"/>
                              </w:rPr>
                              <m:t>data</m:t>
                            </m:r>
                          </m:sub>
                        </m:sSub>
                      </m:den>
                    </m:f>
                    <m:r>
                      <w:rPr>
                        <w:rFonts w:ascii="Cambria Math" w:hAnsi="Cambria Math"/>
                      </w:rPr>
                      <m:t>m</m:t>
                    </m:r>
                  </m:e>
                </m:d>
                <m:sSup>
                  <m:sSupPr>
                    <m:ctrlPr>
                      <w:rPr>
                        <w:rFonts w:ascii="Cambria Math" w:hAnsi="Cambria Math"/>
                        <w:szCs w:val="22"/>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szCs w:val="22"/>
                          </w:rPr>
                        </m:ctrlPr>
                      </m:fPr>
                      <m:num>
                        <m:r>
                          <m:rPr>
                            <m:sty m:val="p"/>
                          </m:rPr>
                          <w:rPr>
                            <w:rFonts w:ascii="Cambria Math" w:hAnsi="Cambria Math"/>
                          </w:rPr>
                          <m:t>2</m:t>
                        </m:r>
                        <m:r>
                          <w:rPr>
                            <w:rFonts w:ascii="Cambria Math" w:hAnsi="Cambria Math"/>
                          </w:rPr>
                          <m:t>πL</m:t>
                        </m:r>
                      </m:num>
                      <m:den>
                        <m:sSub>
                          <m:sSubPr>
                            <m:ctrlPr>
                              <w:rPr>
                                <w:rFonts w:ascii="Cambria Math" w:hAnsi="Cambria Math"/>
                                <w:szCs w:val="22"/>
                              </w:rPr>
                            </m:ctrlPr>
                          </m:sSubPr>
                          <m:e>
                            <m:r>
                              <w:rPr>
                                <w:rFonts w:ascii="Cambria Math" w:hAnsi="Cambria Math"/>
                              </w:rPr>
                              <m:t>N</m:t>
                            </m:r>
                          </m:e>
                          <m:sub>
                            <m:r>
                              <m:rPr>
                                <m:sty m:val="p"/>
                              </m:rPr>
                              <w:rPr>
                                <w:rFonts w:ascii="Cambria Math" w:hAnsi="Cambria Math"/>
                              </w:rPr>
                              <m:t>data</m:t>
                            </m:r>
                          </m:sub>
                        </m:sSub>
                      </m:den>
                    </m:f>
                    <m:r>
                      <w:rPr>
                        <w:rFonts w:ascii="Cambria Math" w:hAnsi="Cambria Math"/>
                      </w:rPr>
                      <m:t>m</m:t>
                    </m:r>
                  </m:sup>
                </m:sSup>
              </m:oMath>
            </m:oMathPara>
          </w:p>
        </w:tc>
        <w:tc>
          <w:tcPr>
            <w:tcW w:w="544" w:type="dxa"/>
            <w:vAlign w:val="center"/>
          </w:tcPr>
          <w:p w14:paraId="755CF4D7" w14:textId="41B7AB0A" w:rsidR="001B012C" w:rsidRPr="00C10FE3" w:rsidRDefault="001B012C" w:rsidP="001B012C">
            <w:pPr>
              <w:autoSpaceDE/>
              <w:autoSpaceDN/>
              <w:spacing w:before="72"/>
              <w:ind w:firstLineChars="250" w:firstLine="500"/>
              <w:rPr>
                <w:szCs w:val="22"/>
              </w:rPr>
            </w:pPr>
            <w:r w:rsidRPr="00C10FE3">
              <w:t>(</w:t>
            </w:r>
            <w:r>
              <w:rPr>
                <w:noProof/>
              </w:rPr>
              <w:t>3</w:t>
            </w:r>
            <w:r w:rsidRPr="00C10FE3">
              <w:t>)</w:t>
            </w:r>
          </w:p>
        </w:tc>
      </w:tr>
    </w:tbl>
    <w:p w14:paraId="03F28912" w14:textId="77777777" w:rsidR="001B012C" w:rsidRPr="00C10FE3" w:rsidRDefault="001B012C" w:rsidP="001B012C">
      <w:pPr>
        <w:spacing w:before="72"/>
      </w:pPr>
      <w:r w:rsidRPr="00C10FE3">
        <w:t xml:space="preserve">with the pulse-shaping filter </w:t>
      </w:r>
      <m:oMath>
        <m:r>
          <w:rPr>
            <w:rFonts w:ascii="Cambria Math" w:hAnsi="Cambria Math"/>
          </w:rPr>
          <m:t>h</m:t>
        </m:r>
        <m:d>
          <m:dPr>
            <m:begChr m:val="["/>
            <m:endChr m:val="]"/>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m:rPr>
                    <m:sty m:val="p"/>
                  </m:rPr>
                  <w:rPr>
                    <w:rFonts w:ascii="Cambria Math" w:hAnsi="Cambria Math"/>
                  </w:rPr>
                  <m:t>sc</m:t>
                </m:r>
              </m:sub>
            </m:sSub>
            <m:r>
              <m:rPr>
                <m:sty m:val="p"/>
              </m:rPr>
              <w:rPr>
                <w:rFonts w:ascii="Cambria Math" w:hAnsi="Cambria Math"/>
              </w:rPr>
              <m:t>-1</m:t>
            </m:r>
          </m:sup>
          <m:e>
            <m:r>
              <w:rPr>
                <w:rFonts w:ascii="Cambria Math" w:hAnsi="Cambria Math"/>
              </w:rPr>
              <m:t>W</m:t>
            </m:r>
            <m:d>
              <m:dPr>
                <m:begChr m:val="["/>
                <m:endChr m:val="]"/>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πk</m:t>
                    </m:r>
                  </m:num>
                  <m:den>
                    <m:sSub>
                      <m:sSubPr>
                        <m:ctrlPr>
                          <w:rPr>
                            <w:rFonts w:ascii="Cambria Math" w:hAnsi="Cambria Math"/>
                          </w:rPr>
                        </m:ctrlPr>
                      </m:sSubPr>
                      <m:e>
                        <m:r>
                          <w:rPr>
                            <w:rFonts w:ascii="Cambria Math" w:hAnsi="Cambria Math"/>
                          </w:rPr>
                          <m:t>N</m:t>
                        </m:r>
                      </m:e>
                      <m:sub>
                        <m:r>
                          <m:rPr>
                            <m:sty m:val="p"/>
                          </m:rPr>
                          <w:rPr>
                            <w:rFonts w:ascii="Cambria Math" w:hAnsi="Cambria Math"/>
                          </w:rPr>
                          <m:t>fft</m:t>
                        </m:r>
                      </m:sub>
                    </m:sSub>
                  </m:den>
                </m:f>
                <m:r>
                  <w:rPr>
                    <w:rFonts w:ascii="Cambria Math" w:hAnsi="Cambria Math"/>
                  </w:rPr>
                  <m:t>n</m:t>
                </m:r>
              </m:sup>
            </m:sSup>
          </m:e>
        </m:nary>
      </m:oMath>
      <w:r w:rsidRPr="00C10FE3">
        <w:t xml:space="preserve"> </w:t>
      </w:r>
    </w:p>
    <w:p w14:paraId="0A812027" w14:textId="35CCCA52" w:rsidR="001B012C" w:rsidRPr="00C10FE3" w:rsidRDefault="001B012C" w:rsidP="001B012C">
      <w:pPr>
        <w:spacing w:before="72"/>
      </w:pPr>
      <w:r w:rsidRPr="00C10FE3">
        <w:t xml:space="preserve">Using Lemma 1 of </w:t>
      </w:r>
      <w:r>
        <w:fldChar w:fldCharType="begin"/>
      </w:r>
      <w:r>
        <w:instrText xml:space="preserve"> REF _Ref118290416 \r \h </w:instrText>
      </w:r>
      <w:r>
        <w:fldChar w:fldCharType="separate"/>
      </w:r>
      <w:r>
        <w:t>[8]</w:t>
      </w:r>
      <w:r>
        <w:fldChar w:fldCharType="end"/>
      </w:r>
      <w:r w:rsidRPr="00C10FE3">
        <w:t xml:space="preserve"> the phase difference between two neighbouring pulses can be shown to be </w:t>
      </w:r>
    </w:p>
    <w:tbl>
      <w:tblPr>
        <w:tblStyle w:val="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4"/>
        <w:gridCol w:w="567"/>
      </w:tblGrid>
      <w:tr w:rsidR="001B012C" w:rsidRPr="00C10FE3" w14:paraId="3A60C547" w14:textId="77777777" w:rsidTr="006C3DF2">
        <w:tc>
          <w:tcPr>
            <w:tcW w:w="12328" w:type="dxa"/>
          </w:tcPr>
          <w:p w14:paraId="16BB3CE1" w14:textId="77777777" w:rsidR="001B012C" w:rsidRPr="00C10FE3" w:rsidRDefault="002C3750" w:rsidP="006C3DF2">
            <w:pPr>
              <w:spacing w:before="72"/>
              <w:rPr>
                <w:rFonts w:ascii="Times" w:hAnsi="Times"/>
              </w:rPr>
            </w:pPr>
            <m:oMathPara>
              <m:oMath>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g</m:t>
                        </m:r>
                      </m:e>
                      <m:sub>
                        <m:r>
                          <w:rPr>
                            <w:rFonts w:ascii="Cambria Math" w:hAnsi="Cambria Math"/>
                          </w:rPr>
                          <m:t>m</m:t>
                        </m:r>
                        <m:r>
                          <m:rPr>
                            <m:sty m:val="p"/>
                          </m:rPr>
                          <w:rPr>
                            <w:rFonts w:ascii="Cambria Math" w:hAnsi="Cambria Math"/>
                          </w:rPr>
                          <m:t>+1</m:t>
                        </m:r>
                      </m:sub>
                    </m:sSub>
                    <m:r>
                      <m:rPr>
                        <m:sty m:val="p"/>
                      </m:rPr>
                      <w:rPr>
                        <w:rFonts w:ascii="Cambria Math" w:hAnsi="Cambria Math"/>
                      </w:rPr>
                      <m:t>[</m:t>
                    </m:r>
                    <m:r>
                      <w:rPr>
                        <w:rFonts w:ascii="Cambria Math" w:hAnsi="Cambria Math"/>
                      </w:rPr>
                      <m:t>n</m:t>
                    </m:r>
                    <m:r>
                      <m:rPr>
                        <m:sty m:val="p"/>
                      </m:rPr>
                      <w:rPr>
                        <w:rFonts w:ascii="Cambria Math" w:hAnsi="Cambria Math"/>
                      </w:rPr>
                      <m:t>]</m:t>
                    </m:r>
                  </m:den>
                </m:f>
                <m:r>
                  <m:rPr>
                    <m:sty m:val="p"/>
                    <m:aln/>
                  </m:rPr>
                  <w:rPr>
                    <w:rFonts w:ascii="Cambria Math" w:hAnsi="Cambria Math"/>
                  </w:rPr>
                  <m:t>=-</m:t>
                </m:r>
                <m:f>
                  <m:fPr>
                    <m:ctrlPr>
                      <w:rPr>
                        <w:rFonts w:ascii="Cambria Math" w:hAnsi="Cambria Math"/>
                      </w:rPr>
                    </m:ctrlPr>
                  </m:fPr>
                  <m:num>
                    <m:r>
                      <m:rPr>
                        <m:sty m:val="p"/>
                      </m:rPr>
                      <w:rPr>
                        <w:rFonts w:ascii="Cambria Math" w:hAnsi="Cambria Math"/>
                      </w:rPr>
                      <m:t>2</m:t>
                    </m:r>
                    <m:r>
                      <w:rPr>
                        <w:rFonts w:ascii="Cambria Math" w:hAnsi="Cambria Math"/>
                      </w:rPr>
                      <m:t>π</m:t>
                    </m:r>
                  </m:num>
                  <m:den>
                    <m:sSub>
                      <m:sSubPr>
                        <m:ctrlPr>
                          <w:rPr>
                            <w:rFonts w:ascii="Cambria Math" w:hAnsi="Cambria Math"/>
                          </w:rPr>
                        </m:ctrlPr>
                      </m:sSubPr>
                      <m:e>
                        <m:r>
                          <w:rPr>
                            <w:rFonts w:ascii="Cambria Math" w:hAnsi="Cambria Math"/>
                          </w:rPr>
                          <m:t>N</m:t>
                        </m:r>
                      </m:e>
                      <m:sub>
                        <m:r>
                          <m:rPr>
                            <m:sty m:val="p"/>
                          </m:rPr>
                          <w:rPr>
                            <w:rFonts w:ascii="Cambria Math" w:hAnsi="Cambria Math"/>
                          </w:rPr>
                          <m:t>data</m:t>
                        </m:r>
                      </m:sub>
                    </m:sSub>
                  </m:den>
                </m:f>
                <m:d>
                  <m:dPr>
                    <m:ctrlPr>
                      <w:rPr>
                        <w:rFonts w:ascii="Cambria Math" w:hAnsi="Cambria Math"/>
                      </w:rPr>
                    </m:ctrlPr>
                  </m:dPr>
                  <m:e>
                    <m:r>
                      <w:rPr>
                        <w:rFonts w:ascii="Cambria Math" w:hAnsi="Cambria Math"/>
                      </w:rPr>
                      <m:t>L</m:t>
                    </m:r>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-1</m:t>
                            </m:r>
                          </m:e>
                        </m:d>
                      </m:num>
                      <m:den>
                        <m:r>
                          <m:rPr>
                            <m:sty m:val="p"/>
                          </m:rPr>
                          <w:rPr>
                            <w:rFonts w:ascii="Cambria Math" w:hAnsi="Cambria Math"/>
                          </w:rPr>
                          <m:t>2</m:t>
                        </m:r>
                      </m:den>
                    </m:f>
                  </m:e>
                </m:d>
                <m:r>
                  <m:rPr>
                    <m:sty m:val="p"/>
                  </m:rPr>
                  <w:rPr>
                    <w:rFonts w:ascii="Cambria Math" w:hAnsi="Cambria Math"/>
                  </w:rPr>
                  <m:t xml:space="preserve">  (mod </m:t>
                </m:r>
                <m:r>
                  <w:rPr>
                    <w:rFonts w:ascii="Cambria Math" w:hAnsi="Cambria Math"/>
                  </w:rPr>
                  <m:t>π</m:t>
                </m:r>
                <m:r>
                  <m:rPr>
                    <m:sty m:val="p"/>
                  </m:rPr>
                  <w:rPr>
                    <w:rFonts w:ascii="Cambria Math" w:hAnsi="Cambria Math"/>
                  </w:rPr>
                  <m:t>)</m:t>
                </m:r>
                <m:r>
                  <w:rPr>
                    <w:rFonts w:ascii="Cambria Math" w:hAnsi="Cambria Math"/>
                  </w:rPr>
                  <m:t xml:space="preserve"> </m:t>
                </m:r>
              </m:oMath>
            </m:oMathPara>
          </w:p>
        </w:tc>
        <w:tc>
          <w:tcPr>
            <w:tcW w:w="622" w:type="dxa"/>
            <w:vAlign w:val="center"/>
          </w:tcPr>
          <w:p w14:paraId="281B4CDF" w14:textId="5744B409" w:rsidR="001B012C" w:rsidRPr="00C10FE3" w:rsidRDefault="001B012C" w:rsidP="001B012C">
            <w:pPr>
              <w:spacing w:before="72"/>
              <w:jc w:val="right"/>
              <w:rPr>
                <w:rFonts w:ascii="Times" w:hAnsi="Times"/>
              </w:rPr>
            </w:pPr>
            <w:r w:rsidRPr="00C10FE3">
              <w:rPr>
                <w:rFonts w:ascii="Times" w:hAnsi="Times"/>
              </w:rPr>
              <w:t>(</w:t>
            </w:r>
            <w:r>
              <w:rPr>
                <w:rFonts w:ascii="Times" w:hAnsi="Times"/>
              </w:rPr>
              <w:t>4</w:t>
            </w:r>
            <w:r w:rsidRPr="00C10FE3">
              <w:rPr>
                <w:rFonts w:ascii="Times" w:hAnsi="Times"/>
              </w:rPr>
              <w:t>)</w:t>
            </w:r>
          </w:p>
        </w:tc>
      </w:tr>
    </w:tbl>
    <w:p w14:paraId="2D7D0C76" w14:textId="77777777" w:rsidR="001B012C" w:rsidRPr="00C10FE3" w:rsidRDefault="001B012C" w:rsidP="00A4735F">
      <w:pPr>
        <w:spacing w:before="72"/>
        <w:jc w:val="both"/>
      </w:pPr>
      <w:r w:rsidRPr="00C10FE3">
        <w:t>This phase difference influence thee coherent combining of pulses and thus the overall fluctuation of the signal’s envelope.</w:t>
      </w:r>
    </w:p>
    <w:p w14:paraId="3FC57751" w14:textId="77777777" w:rsidR="00FB1CA2" w:rsidRDefault="001B012C" w:rsidP="00A4735F">
      <w:pPr>
        <w:spacing w:before="72"/>
        <w:jc w:val="both"/>
      </w:pPr>
      <w:r w:rsidRPr="00C10FE3">
        <w:t xml:space="preserve">With </w:t>
      </w:r>
      <w:r w:rsidRPr="00C10FE3">
        <w:rPr>
          <w:b/>
        </w:rPr>
        <w:t xml:space="preserve">Option </w:t>
      </w:r>
      <w:r>
        <w:rPr>
          <w:b/>
        </w:rPr>
        <w:t>1</w:t>
      </w:r>
      <w:r w:rsidRPr="00C10FE3">
        <w:rPr>
          <w:b/>
        </w:rPr>
        <w:t xml:space="preserve"> </w:t>
      </w:r>
      <w:r w:rsidRPr="00C10FE3">
        <w:t>(</w:t>
      </w:r>
      <m:oMath>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data</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/2</m:t>
        </m:r>
      </m:oMath>
      <w:r w:rsidRPr="00C10FE3">
        <w:t>)</w:t>
      </w:r>
      <w:r>
        <w:t xml:space="preserve"> and </w:t>
      </w:r>
      <w:r w:rsidRPr="00C10FE3">
        <w:rPr>
          <w:b/>
        </w:rPr>
        <w:t xml:space="preserve">Option </w:t>
      </w:r>
      <w:r>
        <w:rPr>
          <w:b/>
        </w:rPr>
        <w:t>2</w:t>
      </w:r>
      <w:r w:rsidRPr="00C10FE3">
        <w:rPr>
          <w:b/>
        </w:rPr>
        <w:t xml:space="preserve"> </w:t>
      </w:r>
      <w:r w:rsidRPr="00C10FE3">
        <w:t>(</w:t>
      </w:r>
      <m:oMath>
        <m:r>
          <w:rPr>
            <w:rFonts w:ascii="Cambria Math" w:hAnsi="Cambria Math"/>
          </w:rPr>
          <m:t>L=0</m:t>
        </m:r>
      </m:oMath>
      <w:r w:rsidRPr="00C10FE3">
        <w:t>) , the phase differences become</w:t>
      </w:r>
      <w:r>
        <w:t xml:space="preserve"> </w:t>
      </w:r>
      <m:oMath>
        <m:r>
          <m:rPr>
            <m:sty m:val="p"/>
          </m:rPr>
          <w:rPr>
            <w:rFonts w:ascii="Cambria Math" w:hAnsi="Cambria Math"/>
          </w:rPr>
          <m:t>-</m:t>
        </m:r>
        <m:f>
          <m:fPr>
            <m:ctrlPr>
              <w:rPr>
                <w:rFonts w:ascii="Cambria Math" w:hAnsi="Cambria Math"/>
              </w:rPr>
            </m:ctrlPr>
          </m:fPr>
          <m:num>
            <m:r>
              <m:rPr>
                <m:sty m:val="p"/>
              </m:rP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e</m:t>
                    </m:r>
                  </m:sub>
                </m:sSub>
                <m:r>
                  <w:rPr>
                    <w:rFonts w:ascii="Cambria Math" w:hAnsi="Cambria Math"/>
                  </w:rPr>
                  <m:t>-1</m:t>
                </m:r>
              </m:e>
            </m:d>
          </m:num>
          <m:den>
            <m:sSub>
              <m:sSubPr>
                <m:ctrlPr>
                  <w:rPr>
                    <w:rFonts w:ascii="Cambria Math" w:hAnsi="Cambria Math"/>
                  </w:rPr>
                </m:ctrlPr>
              </m:sSubPr>
              <m:e>
                <m:r>
                  <w:rPr>
                    <w:rFonts w:ascii="Cambria Math" w:hAnsi="Cambria Math"/>
                  </w:rPr>
                  <m:t>N</m:t>
                </m:r>
              </m:e>
              <m:sub>
                <m:r>
                  <m:rPr>
                    <m:sty m:val="p"/>
                  </m:rPr>
                  <w:rPr>
                    <w:rFonts w:ascii="Cambria Math" w:hAnsi="Cambria Math"/>
                  </w:rPr>
                  <m:t>data</m:t>
                </m:r>
              </m:sub>
            </m:sSub>
          </m:den>
        </m:f>
        <m:r>
          <w:rPr>
            <w:rFonts w:ascii="Cambria Math" w:hAnsi="Cambria Math"/>
          </w:rPr>
          <m:t xml:space="preserve"> </m:t>
        </m:r>
      </m:oMath>
      <w:r>
        <w:t>and</w:t>
      </w:r>
      <w:r w:rsidRPr="00C10FE3">
        <w:t xml:space="preserve"> </w:t>
      </w:r>
      <m:oMath>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g</m:t>
                </m:r>
              </m:e>
              <m:sub>
                <m:r>
                  <w:rPr>
                    <w:rFonts w:ascii="Cambria Math" w:hAnsi="Cambria Math"/>
                  </w:rPr>
                  <m:t>m</m:t>
                </m:r>
                <m:r>
                  <m:rPr>
                    <m:sty m:val="p"/>
                  </m:rPr>
                  <w:rPr>
                    <w:rFonts w:ascii="Cambria Math" w:hAnsi="Cambria Math"/>
                  </w:rPr>
                  <m:t>+1</m:t>
                </m:r>
              </m:sub>
            </m:sSub>
            <m:r>
              <m:rPr>
                <m:sty m:val="p"/>
              </m:rPr>
              <w:rPr>
                <w:rFonts w:ascii="Cambria Math" w:hAnsi="Cambria Math"/>
              </w:rPr>
              <m:t>[</m:t>
            </m:r>
            <m:r>
              <w:rPr>
                <w:rFonts w:ascii="Cambria Math" w:hAnsi="Cambria Math"/>
              </w:rPr>
              <m:t>n</m:t>
            </m:r>
            <m:r>
              <m:rPr>
                <m:sty m:val="p"/>
              </m:rPr>
              <w:rPr>
                <w:rFonts w:ascii="Cambria Math" w:hAnsi="Cambria Math"/>
              </w:rPr>
              <m:t>]</m:t>
            </m:r>
          </m:den>
        </m:f>
        <m:r>
          <m:rPr>
            <m:sty m:val="p"/>
          </m:rPr>
          <w:rPr>
            <w:rFonts w:ascii="Cambria Math" w:hAnsi="Cambria Math"/>
          </w:rPr>
          <m:t>=-</m:t>
        </m:r>
        <m:f>
          <m:fPr>
            <m:ctrlPr>
              <w:rPr>
                <w:rFonts w:ascii="Cambria Math" w:hAnsi="Cambria Math"/>
              </w:rPr>
            </m:ctrlPr>
          </m:fPr>
          <m:num>
            <m:r>
              <w:rPr>
                <w:rFonts w:ascii="Cambria Math" w:hAnsi="Cambria Math"/>
              </w:rPr>
              <m:t>π</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m:rPr>
                    <m:sty m:val="p"/>
                  </m:rPr>
                  <w:rPr>
                    <w:rFonts w:ascii="Cambria Math" w:hAnsi="Cambria Math"/>
                  </w:rPr>
                  <m:t>data</m:t>
                </m:r>
              </m:sub>
            </m:sSub>
          </m:den>
        </m:f>
      </m:oMath>
      <w:r w:rsidRPr="00C10FE3">
        <w:t xml:space="preserve"> , respectively. This means that with these options the phase difference between neighbouring pulses depends of the exte</w:t>
      </w:r>
      <w:proofErr w:type="spellStart"/>
      <w:r>
        <w:t>nsion</w:t>
      </w:r>
      <w:proofErr w:type="spellEnd"/>
      <w:r>
        <w:t xml:space="preserve"> size and is uncontrolled.</w:t>
      </w:r>
    </w:p>
    <w:p w14:paraId="34EDFEE3" w14:textId="50B11D17" w:rsidR="001B012C" w:rsidRPr="00C10FE3" w:rsidRDefault="001B012C" w:rsidP="00136346">
      <w:pPr>
        <w:spacing w:before="72"/>
        <w:jc w:val="both"/>
      </w:pPr>
      <w:r w:rsidRPr="00C10FE3">
        <w:lastRenderedPageBreak/>
        <w:t xml:space="preserve">With </w:t>
      </w:r>
      <w:r w:rsidRPr="00C10FE3">
        <w:rPr>
          <w:b/>
        </w:rPr>
        <w:t>Option 3</w:t>
      </w:r>
      <w:r w:rsidRPr="00C10FE3">
        <w:t xml:space="preserve"> and</w:t>
      </w:r>
      <w:r w:rsidRPr="00C10FE3">
        <w:rPr>
          <w:b/>
        </w:rPr>
        <w:t xml:space="preserve"> </w:t>
      </w:r>
      <m:oMath>
        <m:r>
          <w:rPr>
            <w:rFonts w:ascii="Cambria Math" w:hAnsi="Cambria Math"/>
            <w:sz w:val="21"/>
            <w:szCs w:val="21"/>
          </w:rPr>
          <m:t>L</m:t>
        </m:r>
        <m:r>
          <m:rPr>
            <m:sty m:val="p"/>
          </m:rPr>
          <w:rPr>
            <w:rFonts w:ascii="Cambria Math" w:hAnsi="Cambria Math"/>
            <w:sz w:val="21"/>
            <w:szCs w:val="21"/>
          </w:rPr>
          <m:t xml:space="preserve">= </m:t>
        </m:r>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data</m:t>
                    </m:r>
                  </m:sub>
                </m:sSub>
              </m:num>
              <m:den>
                <m:r>
                  <m:rPr>
                    <m:sty m:val="p"/>
                  </m:rPr>
                  <w:rPr>
                    <w:rFonts w:ascii="Cambria Math" w:hAnsi="Cambria Math"/>
                    <w:sz w:val="21"/>
                    <w:szCs w:val="21"/>
                  </w:rPr>
                  <m:t>8</m:t>
                </m:r>
              </m:den>
            </m:f>
            <m:r>
              <m:rPr>
                <m:sty m:val="p"/>
              </m:rPr>
              <w:rPr>
                <w:rFonts w:ascii="Cambria Math" w:hAnsi="Cambria Math"/>
                <w:sz w:val="21"/>
                <w:szCs w:val="21"/>
              </w:rPr>
              <m:t>-</m:t>
            </m:r>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e</m:t>
                    </m:r>
                  </m:sub>
                </m:sSub>
                <m:r>
                  <m:rPr>
                    <m:sty m:val="p"/>
                  </m:rPr>
                  <w:rPr>
                    <w:rFonts w:ascii="Cambria Math" w:hAnsi="Cambria Math"/>
                    <w:sz w:val="21"/>
                    <w:szCs w:val="21"/>
                  </w:rPr>
                  <m:t>-1</m:t>
                </m:r>
              </m:num>
              <m:den>
                <m:r>
                  <m:rPr>
                    <m:sty m:val="p"/>
                  </m:rPr>
                  <w:rPr>
                    <w:rFonts w:ascii="Cambria Math" w:hAnsi="Cambria Math"/>
                    <w:sz w:val="21"/>
                    <w:szCs w:val="21"/>
                  </w:rPr>
                  <m:t>2</m:t>
                </m:r>
              </m:den>
            </m:f>
          </m:e>
        </m:d>
        <m:r>
          <m:rPr>
            <m:sty m:val="p"/>
          </m:rPr>
          <w:rPr>
            <w:rFonts w:ascii="Cambria Math" w:hAnsi="Cambria Math"/>
            <w:sz w:val="21"/>
            <w:szCs w:val="21"/>
          </w:rPr>
          <m:t xml:space="preserve">, </m:t>
        </m:r>
      </m:oMath>
      <w:r w:rsidRPr="00C10FE3">
        <w:t>we instead have</w:t>
      </w:r>
      <w:r w:rsidRPr="00C10FE3">
        <w:rPr>
          <w:sz w:val="21"/>
          <w:szCs w:val="21"/>
        </w:rPr>
        <w:t xml:space="preserve"> </w:t>
      </w:r>
      <m:oMath>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g</m:t>
                </m:r>
              </m:e>
              <m:sub>
                <m:r>
                  <w:rPr>
                    <w:rFonts w:ascii="Cambria Math" w:hAnsi="Cambria Math"/>
                  </w:rPr>
                  <m:t>m</m:t>
                </m:r>
                <m:r>
                  <m:rPr>
                    <m:sty m:val="p"/>
                  </m:rPr>
                  <w:rPr>
                    <w:rFonts w:ascii="Cambria Math" w:hAnsi="Cambria Math"/>
                  </w:rPr>
                  <m:t>+1</m:t>
                </m:r>
              </m:sub>
            </m:sSub>
            <m:r>
              <m:rPr>
                <m:sty m:val="p"/>
              </m:rPr>
              <w:rPr>
                <w:rFonts w:ascii="Cambria Math" w:hAnsi="Cambria Math"/>
              </w:rPr>
              <m:t>[</m:t>
            </m:r>
            <m:r>
              <w:rPr>
                <w:rFonts w:ascii="Cambria Math" w:hAnsi="Cambria Math"/>
              </w:rPr>
              <m:t>n</m:t>
            </m:r>
            <m:r>
              <m:rPr>
                <m:sty m:val="p"/>
              </m:rPr>
              <w:rPr>
                <w:rFonts w:ascii="Cambria Math" w:hAnsi="Cambria Math"/>
              </w:rPr>
              <m:t>]</m:t>
            </m:r>
          </m:den>
        </m:f>
        <m:r>
          <m:rPr>
            <m:sty m:val="p"/>
          </m:rPr>
          <w:rPr>
            <w:rFonts w:ascii="Cambria Math" w:hAnsi="Cambria Math" w:hint="eastAsia"/>
          </w:rPr>
          <m:t>≈</m:t>
        </m:r>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4</m:t>
            </m:r>
          </m:den>
        </m:f>
      </m:oMath>
      <w:r w:rsidRPr="00C10FE3">
        <w:t xml:space="preserve">. In this case the phase difference between neighboring pulses is maintained constant. As a result, consecutive QPSK symbols will always be transmitted with an absolute phase difference of at least </w:t>
      </w:r>
      <m:oMath>
        <m:f>
          <m:fPr>
            <m:ctrlPr>
              <w:rPr>
                <w:rFonts w:ascii="Cambria Math" w:hAnsi="Cambria Math"/>
              </w:rPr>
            </m:ctrlPr>
          </m:fPr>
          <m:num>
            <m:r>
              <w:rPr>
                <w:rFonts w:ascii="Cambria Math" w:hAnsi="Cambria Math"/>
              </w:rPr>
              <m:t>π</m:t>
            </m:r>
          </m:num>
          <m:den>
            <m:r>
              <m:rPr>
                <m:sty m:val="p"/>
              </m:rPr>
              <w:rPr>
                <w:rFonts w:ascii="Cambria Math" w:hAnsi="Cambria Math"/>
              </w:rPr>
              <m:t>4</m:t>
            </m:r>
          </m:den>
        </m:f>
      </m:oMath>
      <w:r w:rsidRPr="00C10FE3">
        <w:t>, and the signal’s envelope fluctuation would be minimized.</w:t>
      </w:r>
    </w:p>
    <w:p w14:paraId="1E8F5082" w14:textId="5197F486" w:rsidR="00136346" w:rsidRPr="00BF7AEC" w:rsidRDefault="00136346" w:rsidP="00136346">
      <w:pPr>
        <w:spacing w:before="72"/>
        <w:jc w:val="both"/>
        <w:rPr>
          <w:szCs w:val="18"/>
        </w:rPr>
      </w:pPr>
      <w:r>
        <w:rPr>
          <w:szCs w:val="18"/>
        </w:rPr>
        <w:t>For</w:t>
      </w:r>
      <w:r w:rsidRPr="00BF7AEC">
        <w:rPr>
          <w:szCs w:val="18"/>
        </w:rPr>
        <w:t xml:space="preserve"> </w:t>
      </w:r>
      <w:r>
        <w:rPr>
          <w:szCs w:val="18"/>
        </w:rPr>
        <w:t>practical</w:t>
      </w:r>
      <w:r w:rsidRPr="00BF7AEC">
        <w:rPr>
          <w:szCs w:val="18"/>
        </w:rPr>
        <w:t xml:space="preserve"> </w:t>
      </w:r>
      <w:r>
        <w:rPr>
          <w:szCs w:val="18"/>
        </w:rPr>
        <w:t xml:space="preserve">performance </w:t>
      </w:r>
      <w:r w:rsidRPr="00BF7AEC">
        <w:rPr>
          <w:szCs w:val="18"/>
        </w:rPr>
        <w:t xml:space="preserve">comparison between option 2 and option 3, as shown in Figure </w:t>
      </w:r>
      <w:r>
        <w:rPr>
          <w:szCs w:val="18"/>
        </w:rPr>
        <w:t>5</w:t>
      </w:r>
      <w:r w:rsidRPr="00BF7AEC">
        <w:rPr>
          <w:szCs w:val="18"/>
        </w:rPr>
        <w:t xml:space="preserve"> and </w:t>
      </w:r>
      <w:r>
        <w:rPr>
          <w:szCs w:val="18"/>
        </w:rPr>
        <w:t>6</w:t>
      </w:r>
      <w:r w:rsidRPr="00BF7AEC">
        <w:rPr>
          <w:szCs w:val="18"/>
        </w:rPr>
        <w:t>, cyclic shift plus symmetric extension (</w:t>
      </w:r>
      <w:r>
        <w:rPr>
          <w:szCs w:val="18"/>
        </w:rPr>
        <w:t>O</w:t>
      </w:r>
      <w:r w:rsidRPr="00BF7AEC">
        <w:rPr>
          <w:szCs w:val="18"/>
        </w:rPr>
        <w:t>ption 3) has about</w:t>
      </w:r>
      <w:r w:rsidRPr="00D65685">
        <w:rPr>
          <w:szCs w:val="18"/>
        </w:rPr>
        <w:t xml:space="preserve"> </w:t>
      </w:r>
      <w:r w:rsidRPr="00BF7AEC">
        <w:rPr>
          <w:szCs w:val="18"/>
        </w:rPr>
        <w:t>MPR gain</w:t>
      </w:r>
      <w:r>
        <w:rPr>
          <w:szCs w:val="18"/>
        </w:rPr>
        <w:t xml:space="preserve"> of</w:t>
      </w:r>
      <w:r w:rsidRPr="00BF7AEC">
        <w:rPr>
          <w:szCs w:val="18"/>
        </w:rPr>
        <w:t xml:space="preserve"> 0.</w:t>
      </w:r>
      <w:r>
        <w:rPr>
          <w:szCs w:val="18"/>
        </w:rPr>
        <w:t>1-0.2</w:t>
      </w:r>
      <w:r w:rsidRPr="00BF7AEC">
        <w:rPr>
          <w:szCs w:val="18"/>
        </w:rPr>
        <w:t>dB compared to symmetric extension (</w:t>
      </w:r>
      <w:r>
        <w:rPr>
          <w:szCs w:val="18"/>
        </w:rPr>
        <w:t>O</w:t>
      </w:r>
      <w:r w:rsidRPr="00BF7AEC">
        <w:rPr>
          <w:szCs w:val="18"/>
        </w:rPr>
        <w:t xml:space="preserve">ption 2. </w:t>
      </w:r>
    </w:p>
    <w:p w14:paraId="2D96AB2D" w14:textId="569325A2" w:rsidR="00377FF0" w:rsidRPr="00BF7AEC" w:rsidRDefault="00A64633" w:rsidP="00A64633">
      <w:pPr>
        <w:spacing w:before="72"/>
        <w:jc w:val="center"/>
        <w:rPr>
          <w:szCs w:val="18"/>
        </w:rPr>
      </w:pPr>
      <w:r w:rsidRPr="00654FAD">
        <w:rPr>
          <w:noProof/>
          <w:szCs w:val="18"/>
          <w:lang w:val="en-US"/>
        </w:rPr>
        <w:drawing>
          <wp:inline distT="0" distB="0" distL="0" distR="0" wp14:anchorId="66178FAA" wp14:editId="36FEF95D">
            <wp:extent cx="2357087" cy="1768809"/>
            <wp:effectExtent l="0" t="0" r="5715"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73943" cy="1781458"/>
                    </a:xfrm>
                    <a:prstGeom prst="rect">
                      <a:avLst/>
                    </a:prstGeom>
                  </pic:spPr>
                </pic:pic>
              </a:graphicData>
            </a:graphic>
          </wp:inline>
        </w:drawing>
      </w:r>
    </w:p>
    <w:p w14:paraId="0831AE33" w14:textId="7332D7AD" w:rsidR="00377FF0" w:rsidRPr="00A64633" w:rsidRDefault="00377FF0" w:rsidP="009955E3">
      <w:pPr>
        <w:spacing w:before="72"/>
        <w:ind w:firstLineChars="50" w:firstLine="100"/>
        <w:jc w:val="center"/>
        <w:rPr>
          <w:b/>
          <w:szCs w:val="18"/>
        </w:rPr>
      </w:pPr>
      <w:r w:rsidRPr="00A64633">
        <w:rPr>
          <w:b/>
          <w:szCs w:val="18"/>
        </w:rPr>
        <w:t xml:space="preserve">Figure </w:t>
      </w:r>
      <w:r w:rsidR="00960FEE" w:rsidRPr="00A64633">
        <w:rPr>
          <w:b/>
          <w:szCs w:val="18"/>
        </w:rPr>
        <w:t>5</w:t>
      </w:r>
      <w:r w:rsidRPr="00A64633">
        <w:rPr>
          <w:b/>
          <w:szCs w:val="18"/>
        </w:rPr>
        <w:t xml:space="preserve">. MPR </w:t>
      </w:r>
      <w:r w:rsidR="009955E3" w:rsidRPr="00A64633">
        <w:rPr>
          <w:b/>
          <w:szCs w:val="18"/>
        </w:rPr>
        <w:t>performance comparison</w:t>
      </w:r>
      <w:r w:rsidR="00A64633" w:rsidRPr="00A64633">
        <w:rPr>
          <w:b/>
          <w:szCs w:val="18"/>
        </w:rPr>
        <w:t xml:space="preserve"> between Option 2 and Option 3 using TRRC (0.5, 0.1667) and 1/4 extension</w:t>
      </w:r>
    </w:p>
    <w:p w14:paraId="74F48DA0" w14:textId="24ABAC00" w:rsidR="00377FF0" w:rsidRPr="00BF7AEC" w:rsidRDefault="00A64633" w:rsidP="00A64633">
      <w:pPr>
        <w:spacing w:before="72"/>
        <w:jc w:val="center"/>
        <w:rPr>
          <w:szCs w:val="18"/>
        </w:rPr>
      </w:pPr>
      <w:r w:rsidRPr="00654FAD">
        <w:rPr>
          <w:noProof/>
          <w:szCs w:val="18"/>
          <w:lang w:val="en-US"/>
        </w:rPr>
        <w:drawing>
          <wp:inline distT="0" distB="0" distL="0" distR="0" wp14:anchorId="68F23278" wp14:editId="5409D75C">
            <wp:extent cx="2412981" cy="1788587"/>
            <wp:effectExtent l="0" t="0" r="698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40737" cy="1809161"/>
                    </a:xfrm>
                    <a:prstGeom prst="rect">
                      <a:avLst/>
                    </a:prstGeom>
                  </pic:spPr>
                </pic:pic>
              </a:graphicData>
            </a:graphic>
          </wp:inline>
        </w:drawing>
      </w:r>
    </w:p>
    <w:p w14:paraId="64EA2EAE" w14:textId="440F47A1" w:rsidR="00377FF0" w:rsidRPr="00A64633" w:rsidRDefault="00377FF0" w:rsidP="009955E3">
      <w:pPr>
        <w:spacing w:before="72"/>
        <w:ind w:firstLineChars="50" w:firstLine="100"/>
        <w:jc w:val="center"/>
        <w:rPr>
          <w:b/>
          <w:szCs w:val="18"/>
        </w:rPr>
      </w:pPr>
      <w:r w:rsidRPr="00A64633">
        <w:rPr>
          <w:b/>
          <w:szCs w:val="18"/>
        </w:rPr>
        <w:t xml:space="preserve">Figure </w:t>
      </w:r>
      <w:r w:rsidR="00960FEE" w:rsidRPr="00A64633">
        <w:rPr>
          <w:b/>
          <w:szCs w:val="18"/>
        </w:rPr>
        <w:t>6</w:t>
      </w:r>
      <w:r w:rsidR="00146C0A" w:rsidRPr="00A64633">
        <w:rPr>
          <w:b/>
          <w:szCs w:val="18"/>
        </w:rPr>
        <w:t>.</w:t>
      </w:r>
      <w:r w:rsidRPr="00A64633">
        <w:rPr>
          <w:b/>
          <w:szCs w:val="18"/>
        </w:rPr>
        <w:t xml:space="preserve"> </w:t>
      </w:r>
      <w:r w:rsidR="00A64633" w:rsidRPr="00A64633">
        <w:rPr>
          <w:b/>
          <w:szCs w:val="18"/>
        </w:rPr>
        <w:t>MPR comparison between Option 2 and Option 3 using TRRC (0.5,</w:t>
      </w:r>
      <w:r w:rsidR="00A64633">
        <w:rPr>
          <w:b/>
          <w:szCs w:val="18"/>
        </w:rPr>
        <w:t xml:space="preserve"> </w:t>
      </w:r>
      <w:r w:rsidR="00A64633" w:rsidRPr="00A64633">
        <w:rPr>
          <w:b/>
          <w:szCs w:val="18"/>
        </w:rPr>
        <w:t>0.1667) and 1/3 extension</w:t>
      </w:r>
    </w:p>
    <w:p w14:paraId="070DB749" w14:textId="0B759197" w:rsidR="00377FF0" w:rsidRPr="00F37666" w:rsidRDefault="00136346" w:rsidP="00DF6000">
      <w:pPr>
        <w:spacing w:before="72"/>
        <w:jc w:val="both"/>
        <w:rPr>
          <w:szCs w:val="18"/>
        </w:rPr>
      </w:pPr>
      <w:r>
        <w:rPr>
          <w:szCs w:val="18"/>
        </w:rPr>
        <w:t xml:space="preserve">Moreover, the Option 1, 2, and 3 all have to copy a portion of initial DFT </w:t>
      </w:r>
      <w:r w:rsidRPr="00A12D82">
        <w:rPr>
          <w:szCs w:val="18"/>
        </w:rPr>
        <w:t>coefficients</w:t>
      </w:r>
      <w:r>
        <w:rPr>
          <w:szCs w:val="18"/>
        </w:rPr>
        <w:t xml:space="preserve"> with the same length to obtain extended DFT coefficients, </w:t>
      </w:r>
      <w:r w:rsidRPr="00112928">
        <w:rPr>
          <w:szCs w:val="18"/>
        </w:rPr>
        <w:t xml:space="preserve">except that the </w:t>
      </w:r>
      <w:r>
        <w:rPr>
          <w:szCs w:val="18"/>
        </w:rPr>
        <w:t>location of copied portion is different. Thus, the implementation complexities of Option 1, 2, and 3 are similar and do not have significant difference.</w:t>
      </w:r>
    </w:p>
    <w:p w14:paraId="4611C6FD" w14:textId="32E0CA7E" w:rsidR="00FF3DE3" w:rsidRDefault="00FF3DE3" w:rsidP="00FF3DE3">
      <w:pPr>
        <w:jc w:val="both"/>
        <w:rPr>
          <w:b/>
          <w:i/>
        </w:rPr>
      </w:pPr>
      <w:r>
        <w:rPr>
          <w:b/>
          <w:i/>
        </w:rPr>
        <w:t>Observation</w:t>
      </w:r>
      <w:r w:rsidR="00880B0A">
        <w:rPr>
          <w:b/>
          <w:i/>
        </w:rPr>
        <w:t xml:space="preserve"> 7</w:t>
      </w:r>
      <w:r w:rsidRPr="0056168B">
        <w:rPr>
          <w:b/>
          <w:i/>
        </w:rPr>
        <w:t>:</w:t>
      </w:r>
      <w:r>
        <w:rPr>
          <w:b/>
          <w:i/>
        </w:rPr>
        <w:t xml:space="preserve"> C</w:t>
      </w:r>
      <w:r w:rsidRPr="00FF3DE3">
        <w:rPr>
          <w:b/>
          <w:i/>
        </w:rPr>
        <w:t xml:space="preserve">yclic shift on with symmetric extension can provide </w:t>
      </w:r>
      <w:r w:rsidR="00552FF9">
        <w:rPr>
          <w:b/>
          <w:i/>
        </w:rPr>
        <w:t>0.1~0.2</w:t>
      </w:r>
      <w:r w:rsidRPr="00FF3DE3">
        <w:rPr>
          <w:b/>
          <w:i/>
        </w:rPr>
        <w:t xml:space="preserve"> MPR gain compared to no cyclic shift for inner RB allocation</w:t>
      </w:r>
      <w:r w:rsidR="00552FF9">
        <w:rPr>
          <w:b/>
          <w:i/>
        </w:rPr>
        <w:t xml:space="preserve"> without any additional impact to the receiver</w:t>
      </w:r>
      <w:r>
        <w:rPr>
          <w:b/>
          <w:i/>
        </w:rPr>
        <w:t xml:space="preserve">.  </w:t>
      </w:r>
    </w:p>
    <w:p w14:paraId="154A5C65" w14:textId="058C8233" w:rsidR="004665F7" w:rsidRPr="00F92B2D" w:rsidRDefault="00FF3DE3" w:rsidP="006761A5">
      <w:pPr>
        <w:jc w:val="both"/>
        <w:rPr>
          <w:b/>
          <w:i/>
          <w:highlight w:val="yellow"/>
        </w:rPr>
      </w:pPr>
      <w:r w:rsidRPr="0056168B">
        <w:rPr>
          <w:b/>
          <w:i/>
        </w:rPr>
        <w:t xml:space="preserve">Proposal </w:t>
      </w:r>
      <w:r w:rsidR="00136346">
        <w:rPr>
          <w:b/>
          <w:i/>
        </w:rPr>
        <w:t>3</w:t>
      </w:r>
      <w:r w:rsidRPr="0056168B">
        <w:rPr>
          <w:b/>
          <w:i/>
        </w:rPr>
        <w:t>:</w:t>
      </w:r>
      <w:r>
        <w:rPr>
          <w:b/>
          <w:i/>
        </w:rPr>
        <w:t xml:space="preserve"> </w:t>
      </w:r>
      <w:r w:rsidR="00136346">
        <w:rPr>
          <w:b/>
          <w:i/>
        </w:rPr>
        <w:t>Adopt</w:t>
      </w:r>
      <w:r>
        <w:rPr>
          <w:b/>
          <w:i/>
        </w:rPr>
        <w:t xml:space="preserve"> FDSS with </w:t>
      </w:r>
      <w:r w:rsidR="00DF6000">
        <w:rPr>
          <w:b/>
          <w:i/>
        </w:rPr>
        <w:t>c</w:t>
      </w:r>
      <w:r w:rsidR="00BE527F" w:rsidRPr="00BE527F">
        <w:rPr>
          <w:b/>
          <w:i/>
        </w:rPr>
        <w:t>yclic shift plus symmetric extension</w:t>
      </w:r>
      <w:r w:rsidR="00BE527F">
        <w:rPr>
          <w:b/>
          <w:i/>
        </w:rPr>
        <w:t xml:space="preserve"> </w:t>
      </w:r>
      <w:r>
        <w:rPr>
          <w:b/>
          <w:i/>
        </w:rPr>
        <w:t xml:space="preserve">as </w:t>
      </w:r>
      <w:r w:rsidR="00DF6000">
        <w:rPr>
          <w:b/>
          <w:i/>
        </w:rPr>
        <w:t>the candidate</w:t>
      </w:r>
      <w:r w:rsidR="00BE527F">
        <w:rPr>
          <w:b/>
          <w:i/>
        </w:rPr>
        <w:t xml:space="preserve"> </w:t>
      </w:r>
      <w:r>
        <w:rPr>
          <w:b/>
          <w:i/>
        </w:rPr>
        <w:t xml:space="preserve">solution for further coverage enhancement towards QPSK with DFT-s-OFDM waveform.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356EA98C"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F92B2D">
        <w:t>candidate solutions for further coverage enhancement</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11E038B8" w14:textId="77777777" w:rsidR="00880B0A" w:rsidRDefault="00880B0A" w:rsidP="00880B0A">
      <w:pPr>
        <w:jc w:val="both"/>
        <w:rPr>
          <w:b/>
          <w:i/>
        </w:rPr>
      </w:pPr>
      <w:r>
        <w:rPr>
          <w:b/>
          <w:i/>
        </w:rPr>
        <w:t>Observation</w:t>
      </w:r>
      <w:r w:rsidRPr="0056168B">
        <w:rPr>
          <w:b/>
          <w:i/>
        </w:rPr>
        <w:t xml:space="preserve"> 1:</w:t>
      </w:r>
      <w:r>
        <w:rPr>
          <w:b/>
          <w:i/>
        </w:rPr>
        <w:t xml:space="preserve"> Enabling MRC receiver could introduce ~0.5dB gain among certain combinations of filter coefficients, RB allocation number, spectrum extension ratio and coding rate. </w:t>
      </w:r>
    </w:p>
    <w:p w14:paraId="02C97DF1" w14:textId="77777777" w:rsidR="00880B0A" w:rsidRDefault="00880B0A" w:rsidP="00880B0A">
      <w:pPr>
        <w:jc w:val="both"/>
        <w:rPr>
          <w:b/>
          <w:i/>
        </w:rPr>
      </w:pPr>
      <w:r>
        <w:rPr>
          <w:b/>
          <w:i/>
        </w:rPr>
        <w:lastRenderedPageBreak/>
        <w:t>Observation</w:t>
      </w:r>
      <w:r w:rsidRPr="0056168B">
        <w:rPr>
          <w:b/>
          <w:i/>
        </w:rPr>
        <w:t xml:space="preserve"> </w:t>
      </w:r>
      <w:r>
        <w:rPr>
          <w:b/>
          <w:i/>
        </w:rPr>
        <w:t>2</w:t>
      </w:r>
      <w:r w:rsidRPr="0056168B">
        <w:rPr>
          <w:b/>
          <w:i/>
        </w:rPr>
        <w:t>:</w:t>
      </w:r>
      <w:r>
        <w:rPr>
          <w:b/>
          <w:i/>
        </w:rPr>
        <w:t xml:space="preserve"> Based on the simulation results towards the cases listed in Table 4, the total gain i.e., power boost gain minus BLER loss, can be around 1dB for inner region for </w:t>
      </w:r>
      <w:r w:rsidRPr="008F08BF">
        <w:rPr>
          <w:b/>
          <w:i/>
        </w:rPr>
        <w:t>QPSK under FDSS w</w:t>
      </w:r>
      <w:r>
        <w:rPr>
          <w:b/>
          <w:i/>
        </w:rPr>
        <w:t>ith spectrum extension, while the total gain from FDSS without spectrum extension is negligible.</w:t>
      </w:r>
    </w:p>
    <w:p w14:paraId="54589680" w14:textId="77777777" w:rsidR="00880B0A" w:rsidRPr="001C2072" w:rsidRDefault="00880B0A" w:rsidP="00880B0A">
      <w:pPr>
        <w:spacing w:before="72"/>
        <w:rPr>
          <w:b/>
          <w:i/>
        </w:rPr>
      </w:pPr>
      <w:r w:rsidRPr="001C2072">
        <w:rPr>
          <w:b/>
          <w:i/>
        </w:rPr>
        <w:t xml:space="preserve">Observation </w:t>
      </w:r>
      <w:r>
        <w:rPr>
          <w:b/>
          <w:i/>
        </w:rPr>
        <w:t>3</w:t>
      </w:r>
      <w:r w:rsidRPr="001C2072">
        <w:rPr>
          <w:b/>
          <w:i/>
        </w:rPr>
        <w:t>: The best extension ratio for different combination of MCS and RB allocation is different:</w:t>
      </w:r>
    </w:p>
    <w:p w14:paraId="65929A31" w14:textId="77777777" w:rsidR="00880B0A" w:rsidRPr="001C2072" w:rsidRDefault="00880B0A" w:rsidP="00880B0A">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 edge RB allocation, the best extension ratio maximizing the total gain is 1/4</w:t>
      </w:r>
    </w:p>
    <w:p w14:paraId="44324702" w14:textId="77777777" w:rsidR="00880B0A" w:rsidRPr="001C2072" w:rsidRDefault="00880B0A" w:rsidP="00880B0A">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 inner RB allocation, when MCS index exceeds 4</w:t>
      </w:r>
      <w:r>
        <w:rPr>
          <w:rFonts w:ascii="Times New Roman" w:hAnsi="Times New Roman"/>
          <w:b/>
          <w:i/>
          <w:kern w:val="0"/>
          <w:sz w:val="20"/>
          <w:szCs w:val="20"/>
          <w:lang w:val="en-GB" w:eastAsia="zh-CN"/>
        </w:rPr>
        <w:t>, extension ratio 1/9 shows better</w:t>
      </w:r>
      <w:r w:rsidRPr="001C2072">
        <w:rPr>
          <w:rFonts w:ascii="Times New Roman" w:hAnsi="Times New Roman"/>
          <w:b/>
          <w:i/>
          <w:kern w:val="0"/>
          <w:sz w:val="20"/>
          <w:szCs w:val="20"/>
          <w:lang w:val="en-GB" w:eastAsia="zh-CN"/>
        </w:rPr>
        <w:t xml:space="preserve"> performance </w:t>
      </w:r>
      <w:r>
        <w:rPr>
          <w:rFonts w:ascii="Times New Roman" w:hAnsi="Times New Roman"/>
          <w:b/>
          <w:i/>
          <w:kern w:val="0"/>
          <w:sz w:val="20"/>
          <w:szCs w:val="20"/>
          <w:lang w:val="en-GB" w:eastAsia="zh-CN"/>
        </w:rPr>
        <w:t>comparing</w:t>
      </w:r>
      <w:r w:rsidRPr="001C2072">
        <w:rPr>
          <w:rFonts w:ascii="Times New Roman" w:hAnsi="Times New Roman"/>
          <w:b/>
          <w:i/>
          <w:kern w:val="0"/>
          <w:sz w:val="20"/>
          <w:szCs w:val="20"/>
          <w:lang w:val="en-GB" w:eastAsia="zh-CN"/>
        </w:rPr>
        <w:t xml:space="preserve"> to extension ratio 1/4.</w:t>
      </w:r>
    </w:p>
    <w:p w14:paraId="030F38F3" w14:textId="77777777" w:rsidR="00880B0A" w:rsidRPr="00513648" w:rsidRDefault="00880B0A" w:rsidP="00880B0A">
      <w:pPr>
        <w:spacing w:before="72"/>
        <w:rPr>
          <w:i/>
        </w:rPr>
      </w:pPr>
      <w:r w:rsidRPr="00C10FE3">
        <w:rPr>
          <w:b/>
          <w:i/>
        </w:rPr>
        <w:t xml:space="preserve">Observation </w:t>
      </w:r>
      <w:r>
        <w:rPr>
          <w:b/>
          <w:i/>
        </w:rPr>
        <w:t>4</w:t>
      </w:r>
      <w:r w:rsidRPr="00C10FE3">
        <w:rPr>
          <w:b/>
          <w:i/>
        </w:rPr>
        <w:t>:</w:t>
      </w:r>
      <w:r w:rsidRPr="00C10FE3">
        <w:t xml:space="preserve"> </w:t>
      </w:r>
      <w:r w:rsidRPr="001B012C">
        <w:rPr>
          <w:rFonts w:ascii="Times" w:hAnsi="Times"/>
          <w:b/>
          <w:i/>
          <w:iCs/>
        </w:rPr>
        <w:t>Option 1 and Option 2</w:t>
      </w:r>
      <w:r w:rsidRPr="001B012C">
        <w:rPr>
          <w:b/>
          <w:i/>
        </w:rPr>
        <w:t xml:space="preserve"> are special cases of Option 3 with specific cyclic shift </w:t>
      </w:r>
      <m:oMath>
        <m:r>
          <m:rPr>
            <m:sty m:val="bi"/>
          </m:rPr>
          <w:rPr>
            <w:rFonts w:ascii="Cambria Math" w:hAnsi="Cambria Math"/>
          </w:rPr>
          <m:t>L</m:t>
        </m:r>
      </m:oMath>
      <w:r w:rsidRPr="001B012C">
        <w:rPr>
          <w:b/>
          <w:i/>
        </w:rPr>
        <w:t>.</w:t>
      </w:r>
    </w:p>
    <w:p w14:paraId="30AE8965" w14:textId="77777777" w:rsidR="00880B0A" w:rsidRPr="001B012C" w:rsidRDefault="00880B0A" w:rsidP="00880B0A">
      <w:pPr>
        <w:spacing w:before="72"/>
        <w:rPr>
          <w:i/>
        </w:rPr>
      </w:pPr>
      <w:r w:rsidRPr="00C10FE3">
        <w:rPr>
          <w:b/>
          <w:i/>
        </w:rPr>
        <w:t>Observation</w:t>
      </w:r>
      <w:r>
        <w:rPr>
          <w:b/>
          <w:i/>
        </w:rPr>
        <w:t xml:space="preserve"> 5</w:t>
      </w:r>
      <w:r w:rsidRPr="00C10FE3">
        <w:rPr>
          <w:b/>
          <w:i/>
        </w:rPr>
        <w:t>:</w:t>
      </w:r>
      <w:r w:rsidRPr="00C10FE3">
        <w:t xml:space="preserve"> </w:t>
      </w:r>
      <w:r w:rsidRPr="001B012C">
        <w:rPr>
          <w:b/>
          <w:i/>
        </w:rPr>
        <w:t xml:space="preserve">The choice of </w:t>
      </w:r>
      <m:oMath>
        <m:r>
          <m:rPr>
            <m:sty m:val="bi"/>
          </m:rPr>
          <w:rPr>
            <w:rFonts w:ascii="Cambria Math" w:hAnsi="Cambria Math"/>
          </w:rPr>
          <m:t>L</m:t>
        </m:r>
      </m:oMath>
      <w:r w:rsidRPr="001B012C">
        <w:rPr>
          <w:b/>
          <w:i/>
        </w:rPr>
        <w:t xml:space="preserve"> does not change the set of symbols in the in-band and thus does not change the receiver requirement.</w:t>
      </w:r>
      <w:r w:rsidRPr="00C10FE3">
        <w:rPr>
          <w:i/>
        </w:rPr>
        <w:t xml:space="preserve">  </w:t>
      </w:r>
    </w:p>
    <w:p w14:paraId="636CF7E9" w14:textId="77777777" w:rsidR="00880B0A" w:rsidRPr="00C10FE3" w:rsidRDefault="00880B0A" w:rsidP="00880B0A">
      <w:pPr>
        <w:spacing w:before="72"/>
      </w:pPr>
      <w:r w:rsidRPr="00C10FE3">
        <w:rPr>
          <w:b/>
          <w:i/>
        </w:rPr>
        <w:t xml:space="preserve">Observation </w:t>
      </w:r>
      <w:r>
        <w:rPr>
          <w:b/>
          <w:i/>
        </w:rPr>
        <w:t>6</w:t>
      </w:r>
      <w:r w:rsidRPr="00C10FE3">
        <w:rPr>
          <w:b/>
          <w:i/>
        </w:rPr>
        <w:t>:</w:t>
      </w:r>
      <w:r w:rsidRPr="00C10FE3">
        <w:t xml:space="preserve"> </w:t>
      </w:r>
      <w:r w:rsidRPr="00880B0A">
        <w:rPr>
          <w:b/>
          <w:i/>
        </w:rPr>
        <w:t>All options can either be implemented as a cyclic extension or symmetric extension.</w:t>
      </w:r>
      <w:r>
        <w:t xml:space="preserve"> </w:t>
      </w:r>
    </w:p>
    <w:p w14:paraId="2386BD0C" w14:textId="527B80BA" w:rsidR="00880B0A" w:rsidRPr="00880B0A" w:rsidRDefault="00880B0A" w:rsidP="00880B0A">
      <w:pPr>
        <w:jc w:val="both"/>
        <w:rPr>
          <w:b/>
          <w:i/>
        </w:rPr>
      </w:pPr>
      <w:r>
        <w:rPr>
          <w:b/>
          <w:i/>
        </w:rPr>
        <w:t>Observation 7</w:t>
      </w:r>
      <w:r w:rsidRPr="0056168B">
        <w:rPr>
          <w:b/>
          <w:i/>
        </w:rPr>
        <w:t>:</w:t>
      </w:r>
      <w:r>
        <w:rPr>
          <w:b/>
          <w:i/>
        </w:rPr>
        <w:t xml:space="preserve"> C</w:t>
      </w:r>
      <w:r w:rsidRPr="00FF3DE3">
        <w:rPr>
          <w:b/>
          <w:i/>
        </w:rPr>
        <w:t xml:space="preserve">yclic shift on with symmetric extension can provide </w:t>
      </w:r>
      <w:r>
        <w:rPr>
          <w:b/>
          <w:i/>
        </w:rPr>
        <w:t>0.1~0.2</w:t>
      </w:r>
      <w:r w:rsidRPr="00FF3DE3">
        <w:rPr>
          <w:b/>
          <w:i/>
        </w:rPr>
        <w:t xml:space="preserve"> MPR gain compared to no cyclic shift for inner RB allocation</w:t>
      </w:r>
      <w:r>
        <w:rPr>
          <w:b/>
          <w:i/>
        </w:rPr>
        <w:t xml:space="preserve"> without any additional impact to the receiver.  </w:t>
      </w:r>
    </w:p>
    <w:p w14:paraId="4F120F7C" w14:textId="77777777" w:rsidR="00880B0A" w:rsidRDefault="00880B0A" w:rsidP="00880B0A">
      <w:pPr>
        <w:jc w:val="both"/>
        <w:rPr>
          <w:b/>
          <w:i/>
        </w:rPr>
      </w:pPr>
      <w:r>
        <w:rPr>
          <w:b/>
          <w:i/>
        </w:rPr>
        <w:t>Proposal</w:t>
      </w:r>
      <w:r w:rsidRPr="0056168B">
        <w:rPr>
          <w:b/>
          <w:i/>
        </w:rPr>
        <w:t xml:space="preserve"> 1:</w:t>
      </w:r>
      <w:r>
        <w:rPr>
          <w:b/>
          <w:i/>
        </w:rPr>
        <w:t xml:space="preserve"> The MRC receiver should not be considered for the evaluation of the net gain towards spectrum extension scheme.   </w:t>
      </w:r>
    </w:p>
    <w:p w14:paraId="02B1D909" w14:textId="77777777" w:rsidR="00880B0A" w:rsidRPr="00851A88" w:rsidRDefault="00880B0A" w:rsidP="00880B0A">
      <w:pPr>
        <w:spacing w:before="72"/>
        <w:rPr>
          <w:b/>
          <w:i/>
        </w:rPr>
      </w:pPr>
      <w:r>
        <w:rPr>
          <w:b/>
          <w:i/>
        </w:rPr>
        <w:t>Proposal</w:t>
      </w:r>
      <w:r w:rsidRPr="0056168B">
        <w:rPr>
          <w:b/>
          <w:i/>
        </w:rPr>
        <w:t xml:space="preserve"> </w:t>
      </w:r>
      <w:r>
        <w:rPr>
          <w:b/>
          <w:i/>
        </w:rPr>
        <w:t>2</w:t>
      </w:r>
      <w:r w:rsidRPr="0056168B">
        <w:rPr>
          <w:b/>
          <w:i/>
        </w:rPr>
        <w:t>:</w:t>
      </w:r>
      <w:r>
        <w:rPr>
          <w:b/>
          <w:i/>
        </w:rPr>
        <w:t xml:space="preserve"> To achieve better total gain, both 1/4 and 1/9 spectrum extension ratio should be considered.</w:t>
      </w:r>
    </w:p>
    <w:p w14:paraId="2350CAC8" w14:textId="71589501" w:rsidR="004665F7" w:rsidRPr="00F92B2D" w:rsidRDefault="00880B0A" w:rsidP="00D54A47">
      <w:pPr>
        <w:jc w:val="both"/>
        <w:rPr>
          <w:b/>
          <w:i/>
          <w:highlight w:val="yellow"/>
        </w:rPr>
      </w:pPr>
      <w:r w:rsidRPr="0056168B">
        <w:rPr>
          <w:b/>
          <w:i/>
        </w:rPr>
        <w:t xml:space="preserve">Proposal </w:t>
      </w:r>
      <w:r>
        <w:rPr>
          <w:b/>
          <w:i/>
        </w:rPr>
        <w:t>3</w:t>
      </w:r>
      <w:r w:rsidRPr="0056168B">
        <w:rPr>
          <w:b/>
          <w:i/>
        </w:rPr>
        <w:t>:</w:t>
      </w:r>
      <w:r>
        <w:rPr>
          <w:b/>
          <w:i/>
        </w:rPr>
        <w:t xml:space="preserve"> Adopt FDSS with c</w:t>
      </w:r>
      <w:r w:rsidRPr="00BE527F">
        <w:rPr>
          <w:b/>
          <w:i/>
        </w:rPr>
        <w:t>yclic shift plus symmetric extension</w:t>
      </w:r>
      <w:r>
        <w:rPr>
          <w:b/>
          <w:i/>
        </w:rPr>
        <w:t xml:space="preserve"> as the candidate solution for further coverage enhancement towards QPSK with DFT-s-OFDM waveform.  </w:t>
      </w:r>
      <w:r w:rsidR="00F92B2D">
        <w:rPr>
          <w:b/>
          <w:i/>
        </w:rPr>
        <w:t xml:space="preserve">  </w:t>
      </w:r>
    </w:p>
    <w:p w14:paraId="6D80274E" w14:textId="77777777" w:rsidR="00B22DA6" w:rsidRDefault="00B22DA6" w:rsidP="00B22DA6">
      <w:pPr>
        <w:pStyle w:val="1"/>
        <w:numPr>
          <w:ilvl w:val="0"/>
          <w:numId w:val="0"/>
        </w:numPr>
        <w:rPr>
          <w:rFonts w:eastAsia="宋体"/>
          <w:lang w:eastAsia="zh-CN"/>
        </w:rPr>
      </w:pPr>
      <w:r>
        <w:t>References</w:t>
      </w:r>
    </w:p>
    <w:p w14:paraId="690BE68C" w14:textId="0029811D" w:rsidR="004C34C6" w:rsidRDefault="004C34C6"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R4-2303559, “</w:t>
      </w:r>
      <w:r w:rsidRPr="00E50A44">
        <w:rPr>
          <w:lang w:val="it-IT" w:eastAsia="ja-JP"/>
        </w:rPr>
        <w:t xml:space="preserve">WF on </w:t>
      </w:r>
      <w:r w:rsidRPr="004C34C6">
        <w:rPr>
          <w:bCs/>
          <w:lang w:eastAsia="ja-JP"/>
        </w:rPr>
        <w:t>enhancements to reduce MPR&amp;PAR</w:t>
      </w:r>
      <w:r>
        <w:rPr>
          <w:lang w:val="it-IT" w:eastAsia="ja-JP"/>
        </w:rPr>
        <w:t>”, Nokia, Nokia Shanghai Bell</w:t>
      </w:r>
      <w:r w:rsidRPr="00E50A44">
        <w:rPr>
          <w:lang w:val="it-IT" w:eastAsia="ja-JP"/>
        </w:rPr>
        <w:t xml:space="preserve">, </w:t>
      </w:r>
      <w:r w:rsidR="00B07EF9" w:rsidRPr="000B78E6">
        <w:t>3GPP TSG-RAN</w:t>
      </w:r>
      <w:r w:rsidR="00B07EF9">
        <w:t>4</w:t>
      </w:r>
      <w:r w:rsidR="00B07EF9" w:rsidRPr="000B78E6">
        <w:t xml:space="preserve"> Meeting #</w:t>
      </w:r>
      <w:r w:rsidR="00B07EF9">
        <w:t>106, Athens</w:t>
      </w:r>
      <w:r w:rsidR="00B07EF9">
        <w:rPr>
          <w:lang w:val="it-IT"/>
        </w:rPr>
        <w:t>, Greece,</w:t>
      </w:r>
      <w:r w:rsidR="00B07EF9">
        <w:t xml:space="preserve"> February 27 – March 3, 2023</w:t>
      </w:r>
      <w:r w:rsidR="00330F1C">
        <w:rPr>
          <w:lang w:val="it-IT" w:eastAsia="ja-JP"/>
        </w:rPr>
        <w:t>.</w:t>
      </w:r>
    </w:p>
    <w:p w14:paraId="69073173" w14:textId="5BCE9BC7" w:rsidR="00B07EF9" w:rsidRPr="00643D4D" w:rsidRDefault="00330F1C" w:rsidP="00643D4D">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R4-2303561, “</w:t>
      </w:r>
      <w:r w:rsidR="00B07EF9" w:rsidRPr="00B07EF9">
        <w:rPr>
          <w:lang w:eastAsia="ja-JP"/>
        </w:rPr>
        <w:t xml:space="preserve">WF on </w:t>
      </w:r>
      <w:r w:rsidR="00B07EF9" w:rsidRPr="00B07EF9">
        <w:rPr>
          <w:iCs/>
          <w:lang w:eastAsia="ja-JP"/>
        </w:rPr>
        <w:t>simulation assumptions for PAPR/MPR reduction</w:t>
      </w:r>
      <w:r>
        <w:rPr>
          <w:lang w:val="it-IT" w:eastAsia="ja-JP"/>
        </w:rPr>
        <w:t xml:space="preserve">”, </w:t>
      </w:r>
      <w:r w:rsidR="00B07EF9">
        <w:rPr>
          <w:lang w:val="it-IT" w:eastAsia="ja-JP"/>
        </w:rPr>
        <w:t xml:space="preserve">Qualcomm, </w:t>
      </w:r>
      <w:r>
        <w:rPr>
          <w:lang w:val="it-IT" w:eastAsia="ja-JP"/>
        </w:rPr>
        <w:t>Nokia</w:t>
      </w:r>
      <w:r w:rsidRPr="00E50A44">
        <w:rPr>
          <w:lang w:val="it-IT" w:eastAsia="ja-JP"/>
        </w:rPr>
        <w:t xml:space="preserve">, </w:t>
      </w:r>
      <w:r w:rsidR="00B07EF9" w:rsidRPr="000B78E6">
        <w:t>3GPP TSG-RAN</w:t>
      </w:r>
      <w:r w:rsidR="00B07EF9">
        <w:t>4</w:t>
      </w:r>
      <w:r w:rsidR="00B07EF9" w:rsidRPr="000B78E6">
        <w:t xml:space="preserve"> Meeting #</w:t>
      </w:r>
      <w:r w:rsidR="00B07EF9">
        <w:t>106, Athens</w:t>
      </w:r>
      <w:r w:rsidR="00B07EF9">
        <w:rPr>
          <w:lang w:val="it-IT"/>
        </w:rPr>
        <w:t>, Greece,</w:t>
      </w:r>
      <w:r w:rsidR="00B07EF9">
        <w:t xml:space="preserve"> February 27 – March 3, 2023</w:t>
      </w:r>
      <w:r>
        <w:rPr>
          <w:lang w:val="it-IT" w:eastAsia="ja-JP"/>
        </w:rPr>
        <w:t>.</w:t>
      </w:r>
    </w:p>
    <w:p w14:paraId="0D6DAFC7" w14:textId="785515CD" w:rsidR="00AF3AA5" w:rsidRDefault="00AF3AA5"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R1-2212917, “</w:t>
      </w:r>
      <w:r w:rsidRPr="00AF3AA5">
        <w:rPr>
          <w:lang w:val="it-IT" w:eastAsia="ja-JP"/>
        </w:rPr>
        <w:t>LS to RAN4 for further information on RAN1 assumptions for LLS performance evaluation of MPR/PAR reduction solutions</w:t>
      </w:r>
      <w:r>
        <w:rPr>
          <w:lang w:val="it-IT" w:eastAsia="ja-JP"/>
        </w:rPr>
        <w:t xml:space="preserve">”, </w:t>
      </w:r>
      <w:r w:rsidR="00F5260E">
        <w:rPr>
          <w:lang w:val="it-IT" w:eastAsia="ja-JP"/>
        </w:rPr>
        <w:t>Nokia, Nokia Shanghai Bell</w:t>
      </w:r>
      <w:r w:rsidR="00F5260E" w:rsidRPr="00E50A44">
        <w:rPr>
          <w:lang w:val="it-IT" w:eastAsia="ja-JP"/>
        </w:rPr>
        <w:t>, 3GPP TSG-RAN WG4 Meeting #105, Toulouse, France</w:t>
      </w:r>
      <w:r w:rsidR="00F5260E">
        <w:rPr>
          <w:lang w:val="it-IT" w:eastAsia="ja-JP"/>
        </w:rPr>
        <w:t>,</w:t>
      </w:r>
      <w:r w:rsidR="00F5260E" w:rsidRPr="00E50A44">
        <w:rPr>
          <w:lang w:val="it-IT" w:eastAsia="ja-JP"/>
        </w:rPr>
        <w:t xml:space="preserve"> November 14 – 18, 2023</w:t>
      </w:r>
      <w:r w:rsidR="00F5260E">
        <w:rPr>
          <w:lang w:val="it-IT" w:eastAsia="ja-JP"/>
        </w:rPr>
        <w:t>.</w:t>
      </w:r>
    </w:p>
    <w:p w14:paraId="590C8AC6" w14:textId="6DD7F152" w:rsidR="00F5260E" w:rsidRDefault="00F5260E"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w:t>
      </w:r>
      <w:r w:rsidR="00176EBF">
        <w:rPr>
          <w:lang w:val="it-IT" w:eastAsia="ja-JP"/>
        </w:rPr>
        <w:t>2220842, “</w:t>
      </w:r>
      <w:r w:rsidR="00176EBF" w:rsidRPr="00176EBF">
        <w:rPr>
          <w:lang w:val="it-IT" w:eastAsia="ja-JP"/>
        </w:rPr>
        <w:t>LS on RF simulation parameters to be used in RAN4 for power domain enhancements</w:t>
      </w:r>
      <w:r w:rsidR="00176EBF">
        <w:rPr>
          <w:lang w:val="it-IT" w:eastAsia="ja-JP"/>
        </w:rPr>
        <w:t>”, Nokia, Nokia Shanghai Bell</w:t>
      </w:r>
      <w:r w:rsidR="00176EBF" w:rsidRPr="00E50A44">
        <w:rPr>
          <w:lang w:val="it-IT" w:eastAsia="ja-JP"/>
        </w:rPr>
        <w:t>, 3GPP TSG-RAN WG4 Meeting #105, Toulouse, France</w:t>
      </w:r>
      <w:r w:rsidR="00176EBF">
        <w:rPr>
          <w:lang w:val="it-IT" w:eastAsia="ja-JP"/>
        </w:rPr>
        <w:t>,</w:t>
      </w:r>
      <w:r w:rsidR="00176EBF" w:rsidRPr="00E50A44">
        <w:rPr>
          <w:lang w:val="it-IT" w:eastAsia="ja-JP"/>
        </w:rPr>
        <w:t xml:space="preserve"> November 14 – 18, 2023</w:t>
      </w:r>
      <w:r w:rsidR="00176EBF">
        <w:rPr>
          <w:lang w:val="it-IT" w:eastAsia="ja-JP"/>
        </w:rPr>
        <w:t>.</w:t>
      </w:r>
      <w:r w:rsidR="00330F1C">
        <w:rPr>
          <w:lang w:val="it-IT" w:eastAsia="ja-JP"/>
        </w:rPr>
        <w:t xml:space="preserve"> </w:t>
      </w:r>
    </w:p>
    <w:p w14:paraId="78B122CA" w14:textId="1DC731AC" w:rsidR="00330F1C" w:rsidRDefault="00643D4D"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R1-2302081, “</w:t>
      </w:r>
      <w:r w:rsidRPr="00985F34">
        <w:rPr>
          <w:lang w:val="it-IT" w:eastAsia="ja-JP"/>
        </w:rPr>
        <w:t>LS to RAN4 for results of the LLS performance evaluation of MPR/PAR reduction solutions</w:t>
      </w:r>
      <w:r>
        <w:rPr>
          <w:lang w:val="it-IT" w:eastAsia="ja-JP"/>
        </w:rPr>
        <w:t>”, Nokia, Nokia Shanghai Bell</w:t>
      </w:r>
      <w:r w:rsidRPr="00E50A44">
        <w:rPr>
          <w:lang w:val="it-IT" w:eastAsia="ja-JP"/>
        </w:rPr>
        <w:t>, 3GPP TSG-RAN WG</w:t>
      </w:r>
      <w:r>
        <w:rPr>
          <w:lang w:val="it-IT" w:eastAsia="ja-JP"/>
        </w:rPr>
        <w:t>1</w:t>
      </w:r>
      <w:r w:rsidRPr="00E50A44">
        <w:rPr>
          <w:lang w:val="it-IT" w:eastAsia="ja-JP"/>
        </w:rPr>
        <w:t xml:space="preserve"> Meeting #</w:t>
      </w:r>
      <w:r>
        <w:rPr>
          <w:lang w:val="it-IT" w:eastAsia="ja-JP"/>
        </w:rPr>
        <w:t>112</w:t>
      </w:r>
      <w:r w:rsidRPr="00E50A44">
        <w:rPr>
          <w:lang w:val="it-IT" w:eastAsia="ja-JP"/>
        </w:rPr>
        <w:t xml:space="preserve">, </w:t>
      </w:r>
      <w:r w:rsidRPr="00985F34">
        <w:rPr>
          <w:lang w:val="it-IT" w:eastAsia="ja-JP"/>
        </w:rPr>
        <w:t>Athens</w:t>
      </w:r>
      <w:r>
        <w:rPr>
          <w:lang w:val="it-IT" w:eastAsia="ja-JP"/>
        </w:rPr>
        <w:t>, Greece,</w:t>
      </w:r>
      <w:r w:rsidRPr="00985F34">
        <w:rPr>
          <w:lang w:val="it-IT" w:eastAsia="ja-JP"/>
        </w:rPr>
        <w:t xml:space="preserve"> February</w:t>
      </w:r>
      <w:r>
        <w:t xml:space="preserve"> 27 – March 3, 2023</w:t>
      </w:r>
      <w:r>
        <w:rPr>
          <w:lang w:val="it-IT" w:eastAsia="ja-JP"/>
        </w:rPr>
        <w:t>.</w:t>
      </w:r>
    </w:p>
    <w:p w14:paraId="7F6E0647" w14:textId="647FC09E" w:rsidR="00E67732" w:rsidRDefault="00E67732"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w:t>
      </w:r>
      <w:r w:rsidRPr="00E67732">
        <w:rPr>
          <w:lang w:val="it-IT" w:eastAsia="ja-JP"/>
        </w:rPr>
        <w:t>2301762</w:t>
      </w:r>
      <w:r>
        <w:rPr>
          <w:lang w:val="it-IT" w:eastAsia="ja-JP"/>
        </w:rPr>
        <w:t>, “</w:t>
      </w:r>
      <w:r w:rsidRPr="00E67732">
        <w:rPr>
          <w:lang w:val="it-IT" w:eastAsia="ja-JP"/>
        </w:rPr>
        <w:t>On further enhancements to reduce MPR&amp;PAR</w:t>
      </w:r>
      <w:r>
        <w:rPr>
          <w:lang w:val="it-IT" w:eastAsia="ja-JP"/>
        </w:rPr>
        <w:t xml:space="preserve">”, Huawei, HiSilicon, </w:t>
      </w:r>
      <w:r w:rsidRPr="00E50A44">
        <w:rPr>
          <w:lang w:val="it-IT" w:eastAsia="ja-JP"/>
        </w:rPr>
        <w:t>3GPP TSG-RAN WG</w:t>
      </w:r>
      <w:r>
        <w:rPr>
          <w:lang w:val="it-IT" w:eastAsia="ja-JP"/>
        </w:rPr>
        <w:t>1</w:t>
      </w:r>
      <w:r w:rsidRPr="00E50A44">
        <w:rPr>
          <w:lang w:val="it-IT" w:eastAsia="ja-JP"/>
        </w:rPr>
        <w:t xml:space="preserve"> Meeting #</w:t>
      </w:r>
      <w:r>
        <w:rPr>
          <w:lang w:val="it-IT" w:eastAsia="ja-JP"/>
        </w:rPr>
        <w:t>112</w:t>
      </w:r>
      <w:r w:rsidRPr="00E50A44">
        <w:rPr>
          <w:lang w:val="it-IT" w:eastAsia="ja-JP"/>
        </w:rPr>
        <w:t xml:space="preserve">, </w:t>
      </w:r>
      <w:r w:rsidRPr="00985F34">
        <w:rPr>
          <w:lang w:val="it-IT" w:eastAsia="ja-JP"/>
        </w:rPr>
        <w:t>Athens</w:t>
      </w:r>
      <w:r>
        <w:rPr>
          <w:lang w:val="it-IT" w:eastAsia="ja-JP"/>
        </w:rPr>
        <w:t>, Greece,</w:t>
      </w:r>
      <w:r w:rsidRPr="00985F34">
        <w:rPr>
          <w:lang w:val="it-IT" w:eastAsia="ja-JP"/>
        </w:rPr>
        <w:t xml:space="preserve"> February</w:t>
      </w:r>
      <w:r>
        <w:t xml:space="preserve"> 27 – March 3, 2023.</w:t>
      </w:r>
    </w:p>
    <w:p w14:paraId="6DC0DD60" w14:textId="1E699EF7" w:rsidR="002F1A1A" w:rsidRDefault="002F1A1A" w:rsidP="002F1A1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R4-2303561, “</w:t>
      </w:r>
      <w:r w:rsidRPr="002F1A1A">
        <w:rPr>
          <w:lang w:val="it-IT" w:eastAsia="ja-JP"/>
        </w:rPr>
        <w:t>WF on RF simulation results template</w:t>
      </w:r>
      <w:r>
        <w:rPr>
          <w:lang w:val="it-IT" w:eastAsia="ja-JP"/>
        </w:rPr>
        <w:t>”, Ericsson, Nokia</w:t>
      </w:r>
      <w:r w:rsidRPr="00E50A44">
        <w:rPr>
          <w:lang w:val="it-IT" w:eastAsia="ja-JP"/>
        </w:rPr>
        <w:t xml:space="preserve">, </w:t>
      </w:r>
      <w:r w:rsidRPr="000B78E6">
        <w:t>3GPP TSG-RAN</w:t>
      </w:r>
      <w:r>
        <w:t>4</w:t>
      </w:r>
      <w:r w:rsidRPr="000B78E6">
        <w:t xml:space="preserve"> Meeting #</w:t>
      </w:r>
      <w:r>
        <w:t>106, Athens</w:t>
      </w:r>
      <w:r>
        <w:rPr>
          <w:lang w:val="it-IT"/>
        </w:rPr>
        <w:t>, Greece,</w:t>
      </w:r>
      <w:r>
        <w:t xml:space="preserve"> February 27 – March 3, 2023</w:t>
      </w:r>
      <w:r>
        <w:rPr>
          <w:lang w:val="it-IT" w:eastAsia="ja-JP"/>
        </w:rPr>
        <w:t>.</w:t>
      </w:r>
    </w:p>
    <w:p w14:paraId="5D332FB0" w14:textId="54C8A8AF" w:rsidR="00A4735F" w:rsidRPr="00643D4D" w:rsidRDefault="00A4735F" w:rsidP="002F1A1A">
      <w:pPr>
        <w:numPr>
          <w:ilvl w:val="0"/>
          <w:numId w:val="10"/>
        </w:numPr>
        <w:tabs>
          <w:tab w:val="clear" w:pos="720"/>
          <w:tab w:val="num" w:pos="426"/>
        </w:tabs>
        <w:overflowPunct/>
        <w:autoSpaceDE/>
        <w:autoSpaceDN/>
        <w:adjustRightInd/>
        <w:ind w:left="426" w:hanging="426"/>
        <w:jc w:val="both"/>
        <w:textAlignment w:val="auto"/>
        <w:rPr>
          <w:lang w:val="it-IT" w:eastAsia="ja-JP"/>
        </w:rPr>
      </w:pPr>
      <w:r>
        <w:rPr>
          <w:sz w:val="18"/>
        </w:rPr>
        <w:t>J</w:t>
      </w:r>
      <w:r w:rsidRPr="006A28A6">
        <w:rPr>
          <w:sz w:val="18"/>
        </w:rPr>
        <w:t>. Kim, Y. H. Yun, C. Kim and J. H. Cho, "Minimization of PAPR for DFT-Spread OFDM With BPSK Symbols," in IEEE Transactions on Vehicular Technology, vol. 67, no. 12, pp. 11746-11758, Dec. 2018</w:t>
      </w:r>
      <w:r>
        <w:rPr>
          <w:sz w:val="18"/>
        </w:rPr>
        <w:t>.</w:t>
      </w:r>
    </w:p>
    <w:p w14:paraId="11367374" w14:textId="77777777" w:rsidR="00C9510D" w:rsidRDefault="00C9510D" w:rsidP="00F92B2D">
      <w:pPr>
        <w:overflowPunct/>
        <w:autoSpaceDE/>
        <w:autoSpaceDN/>
        <w:adjustRightInd/>
        <w:jc w:val="both"/>
        <w:textAlignment w:val="auto"/>
        <w:rPr>
          <w:lang w:val="it-IT" w:eastAsia="ja-JP"/>
        </w:rPr>
      </w:pPr>
    </w:p>
    <w:p w14:paraId="70F7EC33" w14:textId="77777777" w:rsidR="00CC06CD" w:rsidRDefault="00CC06CD" w:rsidP="00CC06CD">
      <w:pPr>
        <w:overflowPunct/>
        <w:autoSpaceDE/>
        <w:autoSpaceDN/>
        <w:adjustRightInd/>
        <w:jc w:val="both"/>
        <w:textAlignment w:val="auto"/>
        <w:rPr>
          <w:lang w:val="it-IT" w:eastAsia="ja-JP"/>
        </w:rPr>
      </w:pPr>
    </w:p>
    <w:sectPr w:rsidR="00CC06CD" w:rsidSect="00AD2E43">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89735" w14:textId="77777777" w:rsidR="002C3750" w:rsidRDefault="002C3750" w:rsidP="0052762B">
      <w:r>
        <w:separator/>
      </w:r>
    </w:p>
  </w:endnote>
  <w:endnote w:type="continuationSeparator" w:id="0">
    <w:p w14:paraId="0C181DE6" w14:textId="77777777" w:rsidR="002C3750" w:rsidRDefault="002C37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5E4303" w:rsidRDefault="005E43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3D4BB" w14:textId="77777777" w:rsidR="002C3750" w:rsidRDefault="002C3750" w:rsidP="0052762B">
      <w:r>
        <w:separator/>
      </w:r>
    </w:p>
  </w:footnote>
  <w:footnote w:type="continuationSeparator" w:id="0">
    <w:p w14:paraId="21A1A4D3" w14:textId="77777777" w:rsidR="002C3750" w:rsidRDefault="002C375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60785"/>
    <w:multiLevelType w:val="hybridMultilevel"/>
    <w:tmpl w:val="B454817C"/>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1"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9"/>
  </w:num>
  <w:num w:numId="4">
    <w:abstractNumId w:val="14"/>
  </w:num>
  <w:num w:numId="5">
    <w:abstractNumId w:val="13"/>
  </w:num>
  <w:num w:numId="6">
    <w:abstractNumId w:val="6"/>
  </w:num>
  <w:num w:numId="7">
    <w:abstractNumId w:val="12"/>
  </w:num>
  <w:num w:numId="8">
    <w:abstractNumId w:val="16"/>
  </w:num>
  <w:num w:numId="9">
    <w:abstractNumId w:val="5"/>
  </w:num>
  <w:num w:numId="10">
    <w:abstractNumId w:val="1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num>
  <w:num w:numId="14">
    <w:abstractNumId w:val="0"/>
  </w:num>
  <w:num w:numId="15">
    <w:abstractNumId w:val="1"/>
  </w:num>
  <w:num w:numId="16">
    <w:abstractNumId w:val="2"/>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08E"/>
    <w:rsid w:val="000152FA"/>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310"/>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57CCD"/>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23"/>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923"/>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346"/>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C0A"/>
    <w:rsid w:val="00151161"/>
    <w:rsid w:val="00151719"/>
    <w:rsid w:val="0015196F"/>
    <w:rsid w:val="00151DCD"/>
    <w:rsid w:val="001523AF"/>
    <w:rsid w:val="001529C9"/>
    <w:rsid w:val="00152BC7"/>
    <w:rsid w:val="00152FE6"/>
    <w:rsid w:val="00153117"/>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2C"/>
    <w:rsid w:val="001B014E"/>
    <w:rsid w:val="001B044D"/>
    <w:rsid w:val="001B07B2"/>
    <w:rsid w:val="001B14C1"/>
    <w:rsid w:val="001B15B6"/>
    <w:rsid w:val="001B1E2E"/>
    <w:rsid w:val="001B32FB"/>
    <w:rsid w:val="001B3BC3"/>
    <w:rsid w:val="001B4001"/>
    <w:rsid w:val="001B4333"/>
    <w:rsid w:val="001B437A"/>
    <w:rsid w:val="001B4973"/>
    <w:rsid w:val="001B4EBA"/>
    <w:rsid w:val="001B4F8C"/>
    <w:rsid w:val="001B5A5B"/>
    <w:rsid w:val="001B659B"/>
    <w:rsid w:val="001B6637"/>
    <w:rsid w:val="001B663F"/>
    <w:rsid w:val="001B7033"/>
    <w:rsid w:val="001B708E"/>
    <w:rsid w:val="001B72DC"/>
    <w:rsid w:val="001B7AB1"/>
    <w:rsid w:val="001B7F41"/>
    <w:rsid w:val="001C0D1E"/>
    <w:rsid w:val="001C1240"/>
    <w:rsid w:val="001C1BB3"/>
    <w:rsid w:val="001C1D43"/>
    <w:rsid w:val="001C1EC7"/>
    <w:rsid w:val="001C2072"/>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D3B"/>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3C3C"/>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3EF3"/>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0"/>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1A1A"/>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C7A"/>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706F"/>
    <w:rsid w:val="0032716F"/>
    <w:rsid w:val="00327258"/>
    <w:rsid w:val="00327B5C"/>
    <w:rsid w:val="00330F1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0A6"/>
    <w:rsid w:val="003801F2"/>
    <w:rsid w:val="0038060E"/>
    <w:rsid w:val="003806B5"/>
    <w:rsid w:val="00381934"/>
    <w:rsid w:val="00381A7A"/>
    <w:rsid w:val="00382108"/>
    <w:rsid w:val="00382335"/>
    <w:rsid w:val="00382B6B"/>
    <w:rsid w:val="00382D5F"/>
    <w:rsid w:val="00382DD6"/>
    <w:rsid w:val="00383502"/>
    <w:rsid w:val="003839D2"/>
    <w:rsid w:val="00384028"/>
    <w:rsid w:val="0038474C"/>
    <w:rsid w:val="003850A9"/>
    <w:rsid w:val="003858A3"/>
    <w:rsid w:val="0038592B"/>
    <w:rsid w:val="00385A12"/>
    <w:rsid w:val="00386262"/>
    <w:rsid w:val="003865CA"/>
    <w:rsid w:val="00386E67"/>
    <w:rsid w:val="00387A30"/>
    <w:rsid w:val="00387D53"/>
    <w:rsid w:val="003901C2"/>
    <w:rsid w:val="003903D3"/>
    <w:rsid w:val="0039045B"/>
    <w:rsid w:val="00390A4F"/>
    <w:rsid w:val="00390A5A"/>
    <w:rsid w:val="00390D2D"/>
    <w:rsid w:val="00390E9F"/>
    <w:rsid w:val="00390EAA"/>
    <w:rsid w:val="0039167C"/>
    <w:rsid w:val="0039222E"/>
    <w:rsid w:val="003927C4"/>
    <w:rsid w:val="0039296C"/>
    <w:rsid w:val="00392E17"/>
    <w:rsid w:val="0039338F"/>
    <w:rsid w:val="00393614"/>
    <w:rsid w:val="003936F2"/>
    <w:rsid w:val="00393873"/>
    <w:rsid w:val="003941EF"/>
    <w:rsid w:val="00394D01"/>
    <w:rsid w:val="003950DD"/>
    <w:rsid w:val="00395C7F"/>
    <w:rsid w:val="00395EC0"/>
    <w:rsid w:val="0039607A"/>
    <w:rsid w:val="0039647A"/>
    <w:rsid w:val="003967B5"/>
    <w:rsid w:val="00396825"/>
    <w:rsid w:val="003A003D"/>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2A0"/>
    <w:rsid w:val="0040549E"/>
    <w:rsid w:val="00405597"/>
    <w:rsid w:val="004061CC"/>
    <w:rsid w:val="00406346"/>
    <w:rsid w:val="004065E5"/>
    <w:rsid w:val="0040684F"/>
    <w:rsid w:val="00406A79"/>
    <w:rsid w:val="004071C1"/>
    <w:rsid w:val="004078CB"/>
    <w:rsid w:val="0040798A"/>
    <w:rsid w:val="00407F56"/>
    <w:rsid w:val="00410ABC"/>
    <w:rsid w:val="00410B0A"/>
    <w:rsid w:val="0041183D"/>
    <w:rsid w:val="0041187A"/>
    <w:rsid w:val="00411B32"/>
    <w:rsid w:val="00412A80"/>
    <w:rsid w:val="00412C67"/>
    <w:rsid w:val="00412F25"/>
    <w:rsid w:val="004138D2"/>
    <w:rsid w:val="00413CB5"/>
    <w:rsid w:val="00414030"/>
    <w:rsid w:val="00414585"/>
    <w:rsid w:val="00414B81"/>
    <w:rsid w:val="00414D6D"/>
    <w:rsid w:val="00414DE3"/>
    <w:rsid w:val="0041501A"/>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46EEA"/>
    <w:rsid w:val="004477B4"/>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35D0"/>
    <w:rsid w:val="00454942"/>
    <w:rsid w:val="004549EC"/>
    <w:rsid w:val="00454B04"/>
    <w:rsid w:val="00454B8A"/>
    <w:rsid w:val="00454D5C"/>
    <w:rsid w:val="004558AE"/>
    <w:rsid w:val="00455D28"/>
    <w:rsid w:val="00456877"/>
    <w:rsid w:val="0045731E"/>
    <w:rsid w:val="00457567"/>
    <w:rsid w:val="004577EF"/>
    <w:rsid w:val="00457955"/>
    <w:rsid w:val="00457FD8"/>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4C6"/>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2414"/>
    <w:rsid w:val="004D242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37B4"/>
    <w:rsid w:val="004F4010"/>
    <w:rsid w:val="004F4CD5"/>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5B1"/>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2FF9"/>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1A68"/>
    <w:rsid w:val="00581B00"/>
    <w:rsid w:val="00582383"/>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9C1"/>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461"/>
    <w:rsid w:val="005B6A6C"/>
    <w:rsid w:val="005B6AE7"/>
    <w:rsid w:val="005B6AE9"/>
    <w:rsid w:val="005B6C58"/>
    <w:rsid w:val="005B6C6F"/>
    <w:rsid w:val="005B7299"/>
    <w:rsid w:val="005B731F"/>
    <w:rsid w:val="005B7577"/>
    <w:rsid w:val="005B7CF7"/>
    <w:rsid w:val="005B7FE3"/>
    <w:rsid w:val="005C0023"/>
    <w:rsid w:val="005C0348"/>
    <w:rsid w:val="005C06C1"/>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303"/>
    <w:rsid w:val="005E4410"/>
    <w:rsid w:val="005E461B"/>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15B"/>
    <w:rsid w:val="00601A0C"/>
    <w:rsid w:val="0060245E"/>
    <w:rsid w:val="006034A7"/>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F3F"/>
    <w:rsid w:val="0062609A"/>
    <w:rsid w:val="00626C0D"/>
    <w:rsid w:val="00627034"/>
    <w:rsid w:val="00627189"/>
    <w:rsid w:val="00627285"/>
    <w:rsid w:val="00627325"/>
    <w:rsid w:val="006274B4"/>
    <w:rsid w:val="0062751C"/>
    <w:rsid w:val="0062760B"/>
    <w:rsid w:val="006276A9"/>
    <w:rsid w:val="006308EE"/>
    <w:rsid w:val="0063095B"/>
    <w:rsid w:val="0063099F"/>
    <w:rsid w:val="00630BD3"/>
    <w:rsid w:val="00631142"/>
    <w:rsid w:val="00631C31"/>
    <w:rsid w:val="0063224E"/>
    <w:rsid w:val="0063255D"/>
    <w:rsid w:val="006328D9"/>
    <w:rsid w:val="00632E8A"/>
    <w:rsid w:val="006330F0"/>
    <w:rsid w:val="006331FF"/>
    <w:rsid w:val="006332E7"/>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D4D"/>
    <w:rsid w:val="00643FC5"/>
    <w:rsid w:val="00644161"/>
    <w:rsid w:val="006445DF"/>
    <w:rsid w:val="006446A5"/>
    <w:rsid w:val="0064484A"/>
    <w:rsid w:val="00644AE7"/>
    <w:rsid w:val="00644BD6"/>
    <w:rsid w:val="00644E06"/>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4234"/>
    <w:rsid w:val="00664591"/>
    <w:rsid w:val="00664901"/>
    <w:rsid w:val="00664B76"/>
    <w:rsid w:val="00664E58"/>
    <w:rsid w:val="00664F0E"/>
    <w:rsid w:val="00665E21"/>
    <w:rsid w:val="006666AB"/>
    <w:rsid w:val="00666869"/>
    <w:rsid w:val="00666A8C"/>
    <w:rsid w:val="00666F9C"/>
    <w:rsid w:val="00667547"/>
    <w:rsid w:val="00667D7C"/>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3B5"/>
    <w:rsid w:val="006B59A4"/>
    <w:rsid w:val="006B5BDC"/>
    <w:rsid w:val="006B6313"/>
    <w:rsid w:val="006B65E5"/>
    <w:rsid w:val="006B7276"/>
    <w:rsid w:val="006B72D0"/>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5D35"/>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88E"/>
    <w:rsid w:val="00704900"/>
    <w:rsid w:val="00704BDA"/>
    <w:rsid w:val="00704DB3"/>
    <w:rsid w:val="0070533D"/>
    <w:rsid w:val="00706532"/>
    <w:rsid w:val="007070F5"/>
    <w:rsid w:val="0070747A"/>
    <w:rsid w:val="0070774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07C"/>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5B4B"/>
    <w:rsid w:val="0075603F"/>
    <w:rsid w:val="007560BB"/>
    <w:rsid w:val="007565B8"/>
    <w:rsid w:val="007569EE"/>
    <w:rsid w:val="00756C7B"/>
    <w:rsid w:val="00756C87"/>
    <w:rsid w:val="00756E3A"/>
    <w:rsid w:val="00757EA2"/>
    <w:rsid w:val="007605E9"/>
    <w:rsid w:val="00760861"/>
    <w:rsid w:val="00761442"/>
    <w:rsid w:val="007619AD"/>
    <w:rsid w:val="00761BA6"/>
    <w:rsid w:val="00761F36"/>
    <w:rsid w:val="007633F6"/>
    <w:rsid w:val="007639CB"/>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2E71"/>
    <w:rsid w:val="0077302C"/>
    <w:rsid w:val="0077343C"/>
    <w:rsid w:val="00773AE5"/>
    <w:rsid w:val="007741BA"/>
    <w:rsid w:val="0077493F"/>
    <w:rsid w:val="00774C13"/>
    <w:rsid w:val="007750AE"/>
    <w:rsid w:val="00775C1B"/>
    <w:rsid w:val="0077600D"/>
    <w:rsid w:val="007762BA"/>
    <w:rsid w:val="0077704B"/>
    <w:rsid w:val="007773C4"/>
    <w:rsid w:val="00777F46"/>
    <w:rsid w:val="00780611"/>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7B7"/>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EF6"/>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F59"/>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769"/>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90A"/>
    <w:rsid w:val="008463F6"/>
    <w:rsid w:val="00846DE8"/>
    <w:rsid w:val="0084720C"/>
    <w:rsid w:val="00847857"/>
    <w:rsid w:val="00847930"/>
    <w:rsid w:val="00847BF7"/>
    <w:rsid w:val="00847DEC"/>
    <w:rsid w:val="00850933"/>
    <w:rsid w:val="00850B04"/>
    <w:rsid w:val="00850FF1"/>
    <w:rsid w:val="00851A88"/>
    <w:rsid w:val="00851F14"/>
    <w:rsid w:val="0085231D"/>
    <w:rsid w:val="0085268A"/>
    <w:rsid w:val="008529B4"/>
    <w:rsid w:val="0085352E"/>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217"/>
    <w:rsid w:val="008724BA"/>
    <w:rsid w:val="00874063"/>
    <w:rsid w:val="00874211"/>
    <w:rsid w:val="008752FB"/>
    <w:rsid w:val="00875455"/>
    <w:rsid w:val="00875966"/>
    <w:rsid w:val="0087626A"/>
    <w:rsid w:val="00876456"/>
    <w:rsid w:val="00876A06"/>
    <w:rsid w:val="00877764"/>
    <w:rsid w:val="00877A19"/>
    <w:rsid w:val="0088076A"/>
    <w:rsid w:val="00880AC6"/>
    <w:rsid w:val="00880B0A"/>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225"/>
    <w:rsid w:val="008C4362"/>
    <w:rsid w:val="008C45BD"/>
    <w:rsid w:val="008C49AC"/>
    <w:rsid w:val="008C4C4C"/>
    <w:rsid w:val="008C4D83"/>
    <w:rsid w:val="008C51AC"/>
    <w:rsid w:val="008C57A9"/>
    <w:rsid w:val="008C6315"/>
    <w:rsid w:val="008C64AE"/>
    <w:rsid w:val="008C74A5"/>
    <w:rsid w:val="008C7CC9"/>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08BF"/>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FE0"/>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4BA"/>
    <w:rsid w:val="00925776"/>
    <w:rsid w:val="00925909"/>
    <w:rsid w:val="00925E77"/>
    <w:rsid w:val="0092635A"/>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B3D"/>
    <w:rsid w:val="009558EF"/>
    <w:rsid w:val="00956048"/>
    <w:rsid w:val="00956143"/>
    <w:rsid w:val="00956922"/>
    <w:rsid w:val="00956ED3"/>
    <w:rsid w:val="009573AB"/>
    <w:rsid w:val="00957618"/>
    <w:rsid w:val="00957AF5"/>
    <w:rsid w:val="00957F64"/>
    <w:rsid w:val="00960510"/>
    <w:rsid w:val="00960ADF"/>
    <w:rsid w:val="00960B93"/>
    <w:rsid w:val="00960FEE"/>
    <w:rsid w:val="0096101D"/>
    <w:rsid w:val="00961B38"/>
    <w:rsid w:val="009621D7"/>
    <w:rsid w:val="0096284C"/>
    <w:rsid w:val="009630FF"/>
    <w:rsid w:val="00963662"/>
    <w:rsid w:val="00963949"/>
    <w:rsid w:val="00963A4D"/>
    <w:rsid w:val="00964502"/>
    <w:rsid w:val="00964817"/>
    <w:rsid w:val="009651F7"/>
    <w:rsid w:val="00965C51"/>
    <w:rsid w:val="009660DF"/>
    <w:rsid w:val="00966177"/>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CB4"/>
    <w:rsid w:val="009845C3"/>
    <w:rsid w:val="009848B8"/>
    <w:rsid w:val="00984B50"/>
    <w:rsid w:val="00984CCD"/>
    <w:rsid w:val="00985D41"/>
    <w:rsid w:val="00985F34"/>
    <w:rsid w:val="00985FFE"/>
    <w:rsid w:val="009860A7"/>
    <w:rsid w:val="009865DF"/>
    <w:rsid w:val="00986C52"/>
    <w:rsid w:val="00987C39"/>
    <w:rsid w:val="00987DF6"/>
    <w:rsid w:val="0099056B"/>
    <w:rsid w:val="009906EC"/>
    <w:rsid w:val="00990CD5"/>
    <w:rsid w:val="00990EEB"/>
    <w:rsid w:val="00991450"/>
    <w:rsid w:val="00992100"/>
    <w:rsid w:val="009925A6"/>
    <w:rsid w:val="00992728"/>
    <w:rsid w:val="009928DF"/>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4E5F"/>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4627"/>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023"/>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2E03"/>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35F"/>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7FD"/>
    <w:rsid w:val="00A63864"/>
    <w:rsid w:val="00A63D65"/>
    <w:rsid w:val="00A64633"/>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39"/>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9E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3AA5"/>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EF9"/>
    <w:rsid w:val="00B100C4"/>
    <w:rsid w:val="00B10683"/>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2E"/>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4D0C"/>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17D"/>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6F48"/>
    <w:rsid w:val="00BF7458"/>
    <w:rsid w:val="00BF7FE9"/>
    <w:rsid w:val="00C0008A"/>
    <w:rsid w:val="00C0014B"/>
    <w:rsid w:val="00C001E9"/>
    <w:rsid w:val="00C013D9"/>
    <w:rsid w:val="00C0165F"/>
    <w:rsid w:val="00C01A77"/>
    <w:rsid w:val="00C02611"/>
    <w:rsid w:val="00C0296E"/>
    <w:rsid w:val="00C02E37"/>
    <w:rsid w:val="00C03D11"/>
    <w:rsid w:val="00C043D7"/>
    <w:rsid w:val="00C0443F"/>
    <w:rsid w:val="00C04A16"/>
    <w:rsid w:val="00C04B37"/>
    <w:rsid w:val="00C052D0"/>
    <w:rsid w:val="00C054CA"/>
    <w:rsid w:val="00C058F0"/>
    <w:rsid w:val="00C05B24"/>
    <w:rsid w:val="00C05F0D"/>
    <w:rsid w:val="00C06B70"/>
    <w:rsid w:val="00C06C77"/>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AC3"/>
    <w:rsid w:val="00C43D1B"/>
    <w:rsid w:val="00C441C6"/>
    <w:rsid w:val="00C44A68"/>
    <w:rsid w:val="00C44D3D"/>
    <w:rsid w:val="00C453BB"/>
    <w:rsid w:val="00C45A95"/>
    <w:rsid w:val="00C46D24"/>
    <w:rsid w:val="00C46EC5"/>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125"/>
    <w:rsid w:val="00C63266"/>
    <w:rsid w:val="00C634B9"/>
    <w:rsid w:val="00C63AE3"/>
    <w:rsid w:val="00C64439"/>
    <w:rsid w:val="00C65B3E"/>
    <w:rsid w:val="00C6641B"/>
    <w:rsid w:val="00C667F2"/>
    <w:rsid w:val="00C66CEB"/>
    <w:rsid w:val="00C66E0C"/>
    <w:rsid w:val="00C67D98"/>
    <w:rsid w:val="00C67E80"/>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730"/>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5F70"/>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4785"/>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0C"/>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6BB"/>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2B92"/>
    <w:rsid w:val="00D92C79"/>
    <w:rsid w:val="00D9370A"/>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71C"/>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4A5"/>
    <w:rsid w:val="00E165AB"/>
    <w:rsid w:val="00E17333"/>
    <w:rsid w:val="00E176A4"/>
    <w:rsid w:val="00E17A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42B"/>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E3A"/>
    <w:rsid w:val="00E47FAF"/>
    <w:rsid w:val="00E5030A"/>
    <w:rsid w:val="00E50859"/>
    <w:rsid w:val="00E50A44"/>
    <w:rsid w:val="00E50BBC"/>
    <w:rsid w:val="00E51C99"/>
    <w:rsid w:val="00E51FFD"/>
    <w:rsid w:val="00E5200D"/>
    <w:rsid w:val="00E527AA"/>
    <w:rsid w:val="00E52906"/>
    <w:rsid w:val="00E529EE"/>
    <w:rsid w:val="00E532A6"/>
    <w:rsid w:val="00E5454B"/>
    <w:rsid w:val="00E54643"/>
    <w:rsid w:val="00E5498A"/>
    <w:rsid w:val="00E5532B"/>
    <w:rsid w:val="00E5550E"/>
    <w:rsid w:val="00E555C9"/>
    <w:rsid w:val="00E556D8"/>
    <w:rsid w:val="00E55B05"/>
    <w:rsid w:val="00E55C34"/>
    <w:rsid w:val="00E55D1D"/>
    <w:rsid w:val="00E55D77"/>
    <w:rsid w:val="00E56B62"/>
    <w:rsid w:val="00E57102"/>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B3F"/>
    <w:rsid w:val="00E645F9"/>
    <w:rsid w:val="00E64F5A"/>
    <w:rsid w:val="00E6548A"/>
    <w:rsid w:val="00E66DB7"/>
    <w:rsid w:val="00E66F50"/>
    <w:rsid w:val="00E674B6"/>
    <w:rsid w:val="00E675B6"/>
    <w:rsid w:val="00E67732"/>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B0B"/>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BCB"/>
    <w:rsid w:val="00F40D32"/>
    <w:rsid w:val="00F40E1D"/>
    <w:rsid w:val="00F40F33"/>
    <w:rsid w:val="00F418DD"/>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57D3B"/>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34"/>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726"/>
    <w:rsid w:val="00F83898"/>
    <w:rsid w:val="00F83F8E"/>
    <w:rsid w:val="00F843A4"/>
    <w:rsid w:val="00F8466F"/>
    <w:rsid w:val="00F84E0B"/>
    <w:rsid w:val="00F850A0"/>
    <w:rsid w:val="00F85E94"/>
    <w:rsid w:val="00F86516"/>
    <w:rsid w:val="00F86D1C"/>
    <w:rsid w:val="00F87227"/>
    <w:rsid w:val="00F87874"/>
    <w:rsid w:val="00F87F6B"/>
    <w:rsid w:val="00F9033D"/>
    <w:rsid w:val="00F905D7"/>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1FB"/>
    <w:rsid w:val="00FA7E4E"/>
    <w:rsid w:val="00FB05A4"/>
    <w:rsid w:val="00FB066E"/>
    <w:rsid w:val="00FB0E0B"/>
    <w:rsid w:val="00FB1435"/>
    <w:rsid w:val="00FB1CA2"/>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7F0"/>
    <w:rsid w:val="00FC0964"/>
    <w:rsid w:val="00FC174F"/>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2C3"/>
    <w:rsid w:val="00FC68E4"/>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087D"/>
    <w:rsid w:val="00FE22EE"/>
    <w:rsid w:val="00FE25A2"/>
    <w:rsid w:val="00FE3B7A"/>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26E"/>
    <w:rsid w:val="00FF23C7"/>
    <w:rsid w:val="00FF347C"/>
    <w:rsid w:val="00FF3C5F"/>
    <w:rsid w:val="00FF3D19"/>
    <w:rsid w:val="00FF3DE3"/>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paragraph" w:customStyle="1" w:styleId="xmsonormal">
    <w:name w:val="x_msonormal"/>
    <w:basedOn w:val="a1"/>
    <w:rsid w:val="00D05F70"/>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package" Target="embeddings/Microsoft_Visio_Drawing111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981A8-40E1-4A4D-B14B-EE645670A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2537</TotalTime>
  <Pages>8</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227</cp:revision>
  <cp:lastPrinted>2010-01-07T02:23:00Z</cp:lastPrinted>
  <dcterms:created xsi:type="dcterms:W3CDTF">2023-01-28T10:11:00Z</dcterms:created>
  <dcterms:modified xsi:type="dcterms:W3CDTF">2023-04-10T14:49:00Z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(3)KXb6Fg4UlTxBEx+Px8HNezazjqbKpJ9Dred7GGuRMjPvSClSEl1gtKXTqxIE9Rcv5NCe4Xam
YJdq/DbGg0CZo8s8pxt/HfSNfaaueHt3rOcpuBOnPIz3T00RQftympSR4V1GYc6855B5/Pw+
nLx501d8mNOWOHqW1mpMdyC51l/VEuMfTD4YyBWV6keu6kaZeWREhYizSa39LU98kMlwhSKF
MLDzIXgOiHjTJuHeS6</vt:lpwstr>
  </property>
  <property fmtid="{D5CDD505-2E9C-101B-9397-08002B2CF9AE}" pid="15" name="_2015_ms_pID_725343_00">
    <vt:lpwstr>_2015_ms_pID_725343</vt:lpwstr>
  </property>
  <property fmtid="{D5CDD505-2E9C-101B-9397-08002B2CF9AE}" pid="16" name="_2015_ms_pID_7253431">
    <vt:lpwstr>lbd+9uOnXaqA5d3kGS/OiIstLaWHL/GwBsGQVnUTGD6xfCe6//PRpd
BAJlzygPAowAwFLdveCKYS2G2Vt88yGaVr6aM8hQZRWokwDGMCZzFi0hOvAGxsq9IQA1j1pm
kCFU2obRHPdcU57e9nWF1H0o7CULjsQf2GsasPOz0PiqHupi4i5bJfEykvPoWBDMetlA/YBk
iRCnNcxMvR9vNOJiqnzyCN5UI6Nag6u8QPRy</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1679644530</vt:lpwstr>
  </property>
</Properties>
</file>